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3" w:type="dxa"/>
        <w:tblInd w:w="108" w:type="dxa"/>
        <w:tblLook w:val="04A0" w:firstRow="1" w:lastRow="0" w:firstColumn="1" w:lastColumn="0" w:noHBand="0" w:noVBand="1"/>
      </w:tblPr>
      <w:tblGrid>
        <w:gridCol w:w="9203"/>
      </w:tblGrid>
      <w:tr w:rsidR="0057422A" w:rsidRPr="0086698A" w14:paraId="412AEC6B" w14:textId="77777777" w:rsidTr="0086698A">
        <w:trPr>
          <w:trHeight w:val="490"/>
        </w:trPr>
        <w:tc>
          <w:tcPr>
            <w:tcW w:w="9203" w:type="dxa"/>
            <w:shd w:val="clear" w:color="auto" w:fill="000000" w:themeFill="text1"/>
          </w:tcPr>
          <w:p w14:paraId="21FB4FA3" w14:textId="7BCA65A1" w:rsidR="0057422A" w:rsidRPr="0086698A" w:rsidRDefault="00C3108A" w:rsidP="00B82492">
            <w:pPr>
              <w:pStyle w:val="Title"/>
              <w:spacing w:before="60" w:after="60"/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6698A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Education Probation</w:t>
            </w:r>
            <w:r w:rsidR="002F7376" w:rsidRPr="0086698A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ary Review</w:t>
            </w:r>
            <w:r w:rsidR="00E638E6" w:rsidRPr="0086698A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Panel </w:t>
            </w:r>
            <w:r w:rsidR="00F813CF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Summary and </w:t>
            </w:r>
            <w:r w:rsidR="00E638E6" w:rsidRPr="0086698A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Checklist</w:t>
            </w:r>
          </w:p>
        </w:tc>
      </w:tr>
      <w:tr w:rsidR="0057422A" w:rsidRPr="0086698A" w14:paraId="2B91EFC4" w14:textId="77777777" w:rsidTr="0086698A">
        <w:trPr>
          <w:trHeight w:val="13"/>
        </w:trPr>
        <w:tc>
          <w:tcPr>
            <w:tcW w:w="9203" w:type="dxa"/>
          </w:tcPr>
          <w:p w14:paraId="26BC944C" w14:textId="77777777" w:rsidR="0057422A" w:rsidRPr="0086698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:rsidRPr="0086698A" w14:paraId="016CF8F9" w14:textId="77777777" w:rsidTr="0086698A">
        <w:trPr>
          <w:trHeight w:val="14"/>
        </w:trPr>
        <w:tc>
          <w:tcPr>
            <w:tcW w:w="9203" w:type="dxa"/>
          </w:tcPr>
          <w:p w14:paraId="18A808F9" w14:textId="77777777" w:rsidR="0057422A" w:rsidRPr="0086698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:rsidRPr="0086698A" w14:paraId="04B63782" w14:textId="77777777" w:rsidTr="0086698A">
        <w:trPr>
          <w:trHeight w:val="137"/>
        </w:trPr>
        <w:tc>
          <w:tcPr>
            <w:tcW w:w="9203" w:type="dxa"/>
          </w:tcPr>
          <w:p w14:paraId="245C403C" w14:textId="2B0C7D8A" w:rsidR="00B82492" w:rsidRPr="0086698A" w:rsidRDefault="00B82492" w:rsidP="00C37DE3">
            <w:pPr>
              <w:ind w:left="6"/>
              <w:jc w:val="both"/>
              <w:rPr>
                <w:rFonts w:ascii="Arial" w:eastAsia="Arial" w:hAnsi="Arial" w:cs="Arial"/>
                <w:bCs/>
                <w:iCs/>
                <w:color w:val="000000" w:themeColor="text1"/>
                <w:spacing w:val="6"/>
                <w:sz w:val="20"/>
                <w:szCs w:val="20"/>
              </w:rPr>
            </w:pPr>
            <w:r w:rsidRPr="0086698A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This </w:t>
            </w:r>
            <w:r w:rsidR="00B27E86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summary and </w:t>
            </w:r>
            <w:r w:rsidRPr="0086698A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checklist </w:t>
            </w:r>
            <w:r w:rsidR="00B27E86" w:rsidRPr="0086698A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apply</w:t>
            </w:r>
            <w:r w:rsidRPr="0086698A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to</w:t>
            </w:r>
            <w:r w:rsidR="0086698A" w:rsidRPr="0086698A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698A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appointments on the Education Career Track who fall under the Education Probationary Review (EPR) Schem</w:t>
            </w:r>
            <w:r w:rsidR="0086698A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e.</w:t>
            </w:r>
          </w:p>
          <w:p w14:paraId="14C6FB41" w14:textId="77777777" w:rsidR="00B82492" w:rsidRPr="0086698A" w:rsidRDefault="00B82492" w:rsidP="00C37DE3">
            <w:pPr>
              <w:ind w:left="6"/>
              <w:jc w:val="both"/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</w:pPr>
          </w:p>
          <w:p w14:paraId="22B5B095" w14:textId="34C148D4" w:rsidR="00E638E6" w:rsidRDefault="00E638E6" w:rsidP="00C37DE3">
            <w:pPr>
              <w:ind w:left="6"/>
              <w:jc w:val="both"/>
              <w:rPr>
                <w:rFonts w:ascii="Arial" w:eastAsia="Arial" w:hAnsi="Arial" w:cs="Arial"/>
                <w:b/>
                <w:color w:val="000000" w:themeColor="text1"/>
                <w:spacing w:val="6"/>
                <w:sz w:val="20"/>
                <w:szCs w:val="20"/>
              </w:rPr>
            </w:pPr>
            <w:r w:rsidRPr="0086698A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 xml:space="preserve">Following the submission of the </w:t>
            </w:r>
            <w:r w:rsidR="00291C66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 xml:space="preserve">final </w:t>
            </w:r>
            <w:r w:rsidR="00B27E86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>EPR</w:t>
            </w:r>
            <w:r w:rsidR="00B27E86" w:rsidRPr="0086698A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86698A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>form to</w:t>
            </w:r>
            <w:r w:rsidR="0086698A" w:rsidRPr="0086698A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hyperlink r:id="rId8" w:history="1">
              <w:r w:rsidR="0086698A" w:rsidRPr="0086698A">
                <w:rPr>
                  <w:rStyle w:val="Hyperlink"/>
                  <w:rFonts w:ascii="Arial" w:eastAsia="Arial" w:hAnsi="Arial" w:cs="Arial"/>
                  <w:bCs/>
                  <w:sz w:val="20"/>
                  <w:szCs w:val="20"/>
                </w:rPr>
                <w:t>hr.reviewandpromotion@lse.ac.uk</w:t>
              </w:r>
            </w:hyperlink>
            <w:r w:rsidR="0086698A" w:rsidRPr="0086698A">
              <w:rPr>
                <w:rStyle w:val="Hyperlink"/>
                <w:rFonts w:ascii="Arial" w:eastAsia="Arial" w:hAnsi="Arial" w:cs="Arial"/>
                <w:bCs/>
                <w:sz w:val="20"/>
                <w:szCs w:val="20"/>
              </w:rPr>
              <w:t>,</w:t>
            </w:r>
            <w:r w:rsidRPr="0086698A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 xml:space="preserve"> the department will separately need to </w:t>
            </w:r>
            <w:r w:rsidR="00BA4FDE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>convene</w:t>
            </w:r>
            <w:r w:rsidR="00BA4FDE" w:rsidRPr="0086698A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86698A">
              <w:rPr>
                <w:rFonts w:ascii="Arial" w:eastAsia="Arial" w:hAnsi="Arial" w:cs="Arial"/>
                <w:bCs/>
                <w:color w:val="000000" w:themeColor="text1"/>
                <w:spacing w:val="6"/>
                <w:sz w:val="20"/>
                <w:szCs w:val="20"/>
              </w:rPr>
              <w:t>a final Probationary Review Panel to take a decision on whether the individual should be confirmed in post</w:t>
            </w:r>
            <w:r w:rsidRPr="0086698A">
              <w:rPr>
                <w:rFonts w:ascii="Arial" w:eastAsia="Arial" w:hAnsi="Arial" w:cs="Arial"/>
                <w:b/>
                <w:color w:val="000000" w:themeColor="text1"/>
                <w:spacing w:val="6"/>
                <w:sz w:val="20"/>
                <w:szCs w:val="20"/>
              </w:rPr>
              <w:t>.</w:t>
            </w:r>
          </w:p>
          <w:p w14:paraId="3E5532D6" w14:textId="77777777" w:rsidR="00066C6F" w:rsidRPr="0086698A" w:rsidRDefault="00066C6F" w:rsidP="00C37DE3">
            <w:pPr>
              <w:ind w:left="6"/>
              <w:jc w:val="both"/>
              <w:rPr>
                <w:rFonts w:ascii="Arial" w:eastAsia="Arial" w:hAnsi="Arial" w:cs="Arial"/>
                <w:b/>
                <w:color w:val="000000" w:themeColor="text1"/>
                <w:spacing w:val="6"/>
                <w:sz w:val="20"/>
                <w:szCs w:val="20"/>
              </w:rPr>
            </w:pPr>
          </w:p>
          <w:p w14:paraId="12EF8CC0" w14:textId="77777777" w:rsidR="00E638E6" w:rsidRDefault="00E638E6" w:rsidP="00C37DE3">
            <w:pPr>
              <w:pStyle w:val="Subtitle"/>
              <w:rPr>
                <w:rFonts w:ascii="Arial" w:eastAsia="Arial" w:hAnsi="Arial" w:cs="Arial"/>
                <w:b w:val="0"/>
                <w:bCs w:val="0"/>
                <w:color w:val="FFFFFF"/>
                <w:spacing w:val="6"/>
                <w:sz w:val="8"/>
                <w:szCs w:val="8"/>
              </w:rPr>
            </w:pPr>
          </w:p>
          <w:p w14:paraId="091348EF" w14:textId="4AB64522" w:rsidR="00F813CF" w:rsidRPr="00C37DE3" w:rsidRDefault="00F813CF" w:rsidP="00C37DE3">
            <w:pPr>
              <w:pStyle w:val="Subtitle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The Head of Department may request that the Review Panel meet as a paper (email) panel by emailing the Vice President and Pro-Vice Chancellor (Education), the V</w:t>
            </w:r>
            <w:r w:rsidR="00066C6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ice </w:t>
            </w:r>
            <w:r w:rsidRP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C</w:t>
            </w:r>
            <w:r w:rsidR="00066C6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hair of the </w:t>
            </w:r>
            <w:r w:rsidRP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A</w:t>
            </w:r>
            <w:r w:rsidR="00066C6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ppointments </w:t>
            </w:r>
            <w:r w:rsidRP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C</w:t>
            </w:r>
            <w:r w:rsidR="00066C6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ommittee (VCAC)</w:t>
            </w:r>
            <w:r w:rsidRP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, and the Eden Centre Director (with copy to </w:t>
            </w:r>
            <w:hyperlink r:id="rId9" w:history="1">
              <w:r w:rsidR="00B27E86" w:rsidRPr="00C101A0">
                <w:rPr>
                  <w:rStyle w:val="Hyperlink"/>
                  <w:rFonts w:ascii="Arial" w:eastAsia="Arial" w:hAnsi="Arial" w:cs="Arial"/>
                  <w:b w:val="0"/>
                  <w:bCs w:val="0"/>
                  <w:spacing w:val="6"/>
                  <w:sz w:val="20"/>
                  <w:szCs w:val="20"/>
                </w:rPr>
                <w:t>h</w:t>
              </w:r>
              <w:r w:rsidR="00B27E86" w:rsidRPr="00C37DE3">
                <w:rPr>
                  <w:rStyle w:val="Hyperlink"/>
                  <w:rFonts w:ascii="Arial" w:eastAsia="Arial" w:hAnsi="Arial" w:cs="Arial"/>
                  <w:b w:val="0"/>
                  <w:bCs w:val="0"/>
                  <w:spacing w:val="6"/>
                  <w:sz w:val="20"/>
                  <w:szCs w:val="20"/>
                </w:rPr>
                <w:t>r.</w:t>
              </w:r>
              <w:r w:rsidR="00B27E86" w:rsidRPr="00C101A0">
                <w:rPr>
                  <w:rStyle w:val="Hyperlink"/>
                  <w:rFonts w:ascii="Arial" w:eastAsia="Arial" w:hAnsi="Arial" w:cs="Arial"/>
                  <w:b w:val="0"/>
                  <w:bCs w:val="0"/>
                  <w:spacing w:val="6"/>
                  <w:sz w:val="20"/>
                  <w:szCs w:val="20"/>
                </w:rPr>
                <w:t>r</w:t>
              </w:r>
              <w:r w:rsidR="00B27E86" w:rsidRPr="00C37DE3">
                <w:rPr>
                  <w:rStyle w:val="Hyperlink"/>
                  <w:rFonts w:ascii="Arial" w:eastAsia="Arial" w:hAnsi="Arial" w:cs="Arial"/>
                  <w:b w:val="0"/>
                  <w:bCs w:val="0"/>
                  <w:spacing w:val="6"/>
                  <w:sz w:val="20"/>
                  <w:szCs w:val="20"/>
                </w:rPr>
                <w:t>eviewandpromotion@lse.ac.uk</w:t>
              </w:r>
            </w:hyperlink>
            <w:r w:rsidRP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).</w:t>
            </w:r>
          </w:p>
          <w:p w14:paraId="6A499F79" w14:textId="77777777" w:rsidR="00B27E86" w:rsidRPr="00C37DE3" w:rsidRDefault="00B27E86" w:rsidP="00C37DE3">
            <w:pPr>
              <w:pStyle w:val="Subtitle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</w:p>
          <w:p w14:paraId="4C982AFE" w14:textId="43886A04" w:rsidR="00B27E86" w:rsidRPr="00B27E86" w:rsidRDefault="00B27E86" w:rsidP="00C37DE3">
            <w:pPr>
              <w:pStyle w:val="Subtitle"/>
              <w:rPr>
                <w:rFonts w:ascii="Arial" w:eastAsia="Arial" w:hAnsi="Arial" w:cs="Arial"/>
                <w:b w:val="0"/>
                <w:bCs w:val="0"/>
                <w:color w:val="FFFFFF"/>
                <w:spacing w:val="6"/>
                <w:sz w:val="8"/>
                <w:szCs w:val="8"/>
              </w:rPr>
            </w:pPr>
            <w:r w:rsidRP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Human Resources is responsible for the coordination of final Review Panels. Heads of Department should submit details of the final Review Panel and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the candidate documentation to </w:t>
            </w:r>
            <w:hyperlink r:id="rId10" w:history="1">
              <w:r w:rsidRPr="00C101A0">
                <w:rPr>
                  <w:rStyle w:val="Hyperlink"/>
                  <w:rFonts w:ascii="Arial" w:eastAsia="Arial" w:hAnsi="Arial" w:cs="Arial"/>
                  <w:b w:val="0"/>
                  <w:bCs w:val="0"/>
                  <w:spacing w:val="6"/>
                  <w:sz w:val="20"/>
                  <w:szCs w:val="20"/>
                </w:rPr>
                <w:t>hr.reviewandpromotion@lse.ac.uk</w:t>
              </w:r>
            </w:hyperlink>
            <w: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. Human Resources will then facilitate the panel’s consideration of a case for probation and</w:t>
            </w:r>
            <w:r w:rsidR="00C37DE3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issue the formal outcome letter.</w:t>
            </w:r>
          </w:p>
        </w:tc>
      </w:tr>
      <w:tr w:rsidR="0057422A" w:rsidRPr="0086698A" w14:paraId="42C5A92A" w14:textId="77777777" w:rsidTr="0086698A">
        <w:trPr>
          <w:trHeight w:hRule="exact" w:val="60"/>
        </w:trPr>
        <w:tc>
          <w:tcPr>
            <w:tcW w:w="9203" w:type="dxa"/>
          </w:tcPr>
          <w:p w14:paraId="04516CC0" w14:textId="77777777" w:rsidR="004E6F81" w:rsidRPr="0086698A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E638E6" w:rsidRPr="0086698A" w14:paraId="576DBD3D" w14:textId="77777777" w:rsidTr="0086698A">
        <w:trPr>
          <w:trHeight w:hRule="exact" w:val="60"/>
        </w:trPr>
        <w:tc>
          <w:tcPr>
            <w:tcW w:w="9203" w:type="dxa"/>
          </w:tcPr>
          <w:p w14:paraId="452C816B" w14:textId="77777777" w:rsidR="00E638E6" w:rsidRPr="0086698A" w:rsidRDefault="00E638E6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</w:tbl>
    <w:p w14:paraId="5AFE55C0" w14:textId="600BEB39" w:rsidR="00B82492" w:rsidRDefault="00B82492" w:rsidP="00E638E6">
      <w:pPr>
        <w:rPr>
          <w:rFonts w:ascii="Arial" w:eastAsia="Arial" w:hAnsi="Arial" w:cs="Arial"/>
          <w:b/>
          <w:spacing w:val="6"/>
          <w:sz w:val="20"/>
          <w:szCs w:val="20"/>
        </w:rPr>
      </w:pPr>
    </w:p>
    <w:p w14:paraId="15A74364" w14:textId="77777777" w:rsidR="00B27E86" w:rsidRPr="0086698A" w:rsidRDefault="00B27E86" w:rsidP="00E638E6">
      <w:pPr>
        <w:rPr>
          <w:rFonts w:ascii="Arial" w:eastAsia="Arial" w:hAnsi="Arial" w:cs="Arial"/>
          <w:b/>
          <w:spacing w:val="6"/>
          <w:sz w:val="20"/>
          <w:szCs w:val="20"/>
        </w:rPr>
      </w:pPr>
    </w:p>
    <w:tbl>
      <w:tblPr>
        <w:tblStyle w:val="GridTable1Light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82492" w:rsidRPr="0086698A" w14:paraId="5A012642" w14:textId="77777777" w:rsidTr="00866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000000" w:themeFill="text1"/>
          </w:tcPr>
          <w:p w14:paraId="14569E3C" w14:textId="7613AA0B" w:rsidR="00B82492" w:rsidRPr="0086698A" w:rsidRDefault="00F813CF" w:rsidP="0086698A">
            <w:pPr>
              <w:pStyle w:val="Title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Composition of t</w:t>
            </w:r>
            <w:r w:rsidR="00B82492" w:rsidRPr="0086698A">
              <w:rPr>
                <w:rFonts w:ascii="Arial" w:eastAsia="Arial" w:hAnsi="Arial" w:cs="Arial"/>
                <w:b/>
                <w:sz w:val="22"/>
                <w:szCs w:val="22"/>
              </w:rPr>
              <w:t xml:space="preserve">he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Probationary </w:t>
            </w:r>
            <w:r w:rsidR="00B82492" w:rsidRPr="0086698A">
              <w:rPr>
                <w:rFonts w:ascii="Arial" w:eastAsia="Arial" w:hAnsi="Arial" w:cs="Arial"/>
                <w:b/>
                <w:sz w:val="22"/>
                <w:szCs w:val="22"/>
              </w:rPr>
              <w:t>Review Panel</w:t>
            </w:r>
          </w:p>
        </w:tc>
      </w:tr>
      <w:tr w:rsidR="00B82492" w:rsidRPr="0086698A" w14:paraId="5276EBA0" w14:textId="77777777" w:rsidTr="0086698A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634468D7" w14:textId="26A6F822" w:rsidR="00B82492" w:rsidRPr="0086698A" w:rsidRDefault="00B82492" w:rsidP="00B82492">
            <w:pPr>
              <w:ind w:left="6"/>
              <w:rPr>
                <w:rFonts w:ascii="Arial" w:eastAsia="Arial" w:hAnsi="Arial" w:cs="Arial"/>
                <w:bCs w:val="0"/>
                <w:spacing w:val="6"/>
                <w:sz w:val="20"/>
                <w:szCs w:val="20"/>
              </w:rPr>
            </w:pPr>
            <w:r w:rsidRPr="0086698A">
              <w:rPr>
                <w:rFonts w:ascii="Arial" w:eastAsia="Arial" w:hAnsi="Arial" w:cs="Arial"/>
                <w:bCs w:val="0"/>
                <w:spacing w:val="6"/>
                <w:sz w:val="20"/>
                <w:szCs w:val="20"/>
              </w:rPr>
              <w:t>This panel will jointly determine whether the appointment should be confirmed. The panel will include:</w:t>
            </w:r>
          </w:p>
        </w:tc>
      </w:tr>
      <w:tr w:rsidR="00B82492" w:rsidRPr="0086698A" w14:paraId="311B3AF8" w14:textId="77777777" w:rsidTr="0086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21FD53C9" w14:textId="77777777" w:rsidR="00B82492" w:rsidRPr="0086698A" w:rsidRDefault="00B82492" w:rsidP="00B82492">
            <w:pPr>
              <w:ind w:left="6"/>
              <w:jc w:val="center"/>
              <w:rPr>
                <w:rFonts w:ascii="Arial" w:eastAsia="Arial" w:hAnsi="Arial" w:cs="Arial"/>
                <w:bCs w:val="0"/>
                <w:spacing w:val="6"/>
                <w:sz w:val="20"/>
                <w:szCs w:val="20"/>
              </w:rPr>
            </w:pPr>
          </w:p>
          <w:p w14:paraId="080AAA34" w14:textId="77777777" w:rsidR="00B82492" w:rsidRPr="00F0622D" w:rsidRDefault="00B82492" w:rsidP="00B8249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The Head of Department </w:t>
            </w:r>
          </w:p>
          <w:p w14:paraId="1C303069" w14:textId="77777777" w:rsidR="00B82492" w:rsidRPr="00F0622D" w:rsidRDefault="00B82492" w:rsidP="00B8249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Normally, the Vice President and Pro-Vice Chancellor (Education) or, alternatively, the Vice President and Pro-Vice Chancellor (Faculty Development) </w:t>
            </w:r>
          </w:p>
          <w:p w14:paraId="7FBDE35D" w14:textId="77777777" w:rsidR="00B82492" w:rsidRPr="00F0622D" w:rsidRDefault="00B82492" w:rsidP="00B8249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The VCAC </w:t>
            </w:r>
          </w:p>
          <w:p w14:paraId="32C861F8" w14:textId="77777777" w:rsidR="00B82492" w:rsidRPr="00F0622D" w:rsidRDefault="00B82492" w:rsidP="00B8249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An additional Professor or Associate Professor nominated by the department, with a track record of excellence in teaching and/or with teaching or education related matters within their portfolio of duties (e.g. Deputy Head of Department for teaching or Head of Departmental teaching committee) </w:t>
            </w:r>
          </w:p>
          <w:p w14:paraId="4C63323F" w14:textId="77777777" w:rsidR="00B82492" w:rsidRPr="0086698A" w:rsidRDefault="00B82492" w:rsidP="00B8249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 w:rsidRPr="0086698A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Director, LSE Eden Centre </w:t>
            </w:r>
          </w:p>
          <w:p w14:paraId="148B7BD9" w14:textId="41BC2F16" w:rsidR="00B82492" w:rsidRPr="008247E4" w:rsidRDefault="00B82492" w:rsidP="00B8249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8247E4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Where the majority of the panel are male as a consequence of the required role holders, the professorial member should be female and/or the H</w:t>
            </w:r>
            <w:r w:rsidR="00066C6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ead </w:t>
            </w:r>
            <w:r w:rsidRPr="008247E4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o</w:t>
            </w:r>
            <w:r w:rsidR="00066C6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f </w:t>
            </w:r>
            <w:r w:rsidRPr="008247E4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D</w:t>
            </w:r>
            <w:r w:rsidR="00066C6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epartment</w:t>
            </w:r>
            <w:r w:rsidRPr="008247E4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can exercise discretion in inviting a sixth member external to the department to sit on the panel. </w:t>
            </w:r>
          </w:p>
          <w:p w14:paraId="121AB293" w14:textId="77777777" w:rsidR="00023DD3" w:rsidRDefault="00023DD3" w:rsidP="00023DD3">
            <w:pPr>
              <w:rPr>
                <w:rFonts w:ascii="Arial" w:eastAsia="Arial" w:hAnsi="Arial" w:cs="Arial"/>
                <w:bCs w:val="0"/>
                <w:spacing w:val="6"/>
                <w:sz w:val="20"/>
                <w:szCs w:val="20"/>
              </w:rPr>
            </w:pPr>
          </w:p>
          <w:p w14:paraId="7925903C" w14:textId="77777777" w:rsidR="00B82492" w:rsidRPr="0086698A" w:rsidRDefault="00B82492" w:rsidP="00F813CF">
            <w:pPr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</w:p>
        </w:tc>
      </w:tr>
    </w:tbl>
    <w:p w14:paraId="7884420E" w14:textId="77777777" w:rsidR="00B27E86" w:rsidRPr="0086698A" w:rsidRDefault="00B27E86" w:rsidP="00E638E6">
      <w:pPr>
        <w:rPr>
          <w:rFonts w:ascii="Arial" w:eastAsia="Arial" w:hAnsi="Arial" w:cs="Arial"/>
          <w:b/>
          <w:spacing w:val="6"/>
          <w:sz w:val="20"/>
          <w:szCs w:val="20"/>
        </w:rPr>
      </w:pPr>
    </w:p>
    <w:p w14:paraId="1E2AADC2" w14:textId="77777777" w:rsidR="00B82492" w:rsidRPr="0086698A" w:rsidRDefault="00B82492" w:rsidP="00E638E6">
      <w:pPr>
        <w:rPr>
          <w:rFonts w:ascii="Arial" w:eastAsia="Arial" w:hAnsi="Arial" w:cs="Arial"/>
          <w:b/>
          <w:spacing w:val="6"/>
          <w:sz w:val="20"/>
          <w:szCs w:val="20"/>
        </w:rPr>
      </w:pPr>
    </w:p>
    <w:tbl>
      <w:tblPr>
        <w:tblStyle w:val="GridTable1Light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82492" w:rsidRPr="0086698A" w14:paraId="7C001DB1" w14:textId="77777777" w:rsidTr="00866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000000" w:themeFill="text1"/>
          </w:tcPr>
          <w:p w14:paraId="60AD8625" w14:textId="113F7F47" w:rsidR="00B82492" w:rsidRPr="0086698A" w:rsidRDefault="00865EEF" w:rsidP="0086698A">
            <w:pPr>
              <w:pStyle w:val="Title"/>
              <w:rPr>
                <w:rFonts w:ascii="Arial" w:eastAsia="Arial" w:hAnsi="Arial" w:cs="Arial"/>
                <w:b/>
              </w:rPr>
            </w:pPr>
            <w:r w:rsidRPr="0086698A">
              <w:rPr>
                <w:rFonts w:ascii="Arial" w:eastAsia="Arial" w:hAnsi="Arial" w:cs="Arial"/>
                <w:b/>
                <w:sz w:val="22"/>
                <w:szCs w:val="22"/>
              </w:rPr>
              <w:t xml:space="preserve">Candidate </w:t>
            </w:r>
            <w:r w:rsidR="00A5558B" w:rsidRPr="0086698A">
              <w:rPr>
                <w:rFonts w:ascii="Arial" w:eastAsia="Arial" w:hAnsi="Arial" w:cs="Arial"/>
                <w:b/>
                <w:sz w:val="22"/>
                <w:szCs w:val="22"/>
              </w:rPr>
              <w:t>Documentation Checklist</w:t>
            </w:r>
          </w:p>
        </w:tc>
      </w:tr>
      <w:tr w:rsidR="00B82492" w:rsidRPr="0086698A" w14:paraId="6B135748" w14:textId="77777777" w:rsidTr="0086698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2B8010DA" w14:textId="400E950E" w:rsidR="00023DD3" w:rsidRPr="0086698A" w:rsidRDefault="00B82492" w:rsidP="00F0622D">
            <w:pPr>
              <w:ind w:left="6"/>
              <w:rPr>
                <w:rFonts w:ascii="Arial" w:eastAsia="Arial" w:hAnsi="Arial" w:cs="Arial"/>
                <w:bCs w:val="0"/>
                <w:spacing w:val="6"/>
                <w:sz w:val="20"/>
                <w:szCs w:val="20"/>
              </w:rPr>
            </w:pPr>
            <w:r w:rsidRPr="0086698A">
              <w:rPr>
                <w:rFonts w:ascii="Arial" w:eastAsia="Arial" w:hAnsi="Arial" w:cs="Arial"/>
                <w:spacing w:val="6"/>
                <w:sz w:val="20"/>
                <w:szCs w:val="20"/>
              </w:rPr>
              <w:t>The panel will make a decision based on the following documentation</w:t>
            </w:r>
            <w:r w:rsidR="008247E4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: </w:t>
            </w:r>
          </w:p>
        </w:tc>
      </w:tr>
      <w:tr w:rsidR="00B82492" w:rsidRPr="0086698A" w14:paraId="1A91FFB4" w14:textId="77777777" w:rsidTr="0086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6008480F" w14:textId="77777777" w:rsidR="00B82492" w:rsidRPr="0086698A" w:rsidRDefault="00B82492" w:rsidP="00C37DE3">
            <w:pPr>
              <w:ind w:left="462"/>
              <w:jc w:val="center"/>
              <w:rPr>
                <w:rFonts w:ascii="Arial" w:eastAsia="Arial" w:hAnsi="Arial" w:cs="Arial"/>
                <w:bCs w:val="0"/>
                <w:spacing w:val="6"/>
                <w:sz w:val="20"/>
                <w:szCs w:val="20"/>
              </w:rPr>
            </w:pPr>
          </w:p>
          <w:p w14:paraId="0A4CDB1B" w14:textId="6DDA2CBF" w:rsidR="00865EEF" w:rsidRPr="00F0622D" w:rsidRDefault="00066C6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8841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8A" w:rsidRPr="00F0622D">
                  <w:rPr>
                    <w:rFonts w:ascii="MS Gothic" w:eastAsia="MS Gothic" w:hAnsi="MS Gothic" w:cs="Arial" w:hint="eastAsia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86698A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The c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andidate’s CV, 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which should have attached a detailed education contribution statement and a detailed education trajectory statement</w:t>
            </w:r>
            <w: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. Candidates are advised to apply the guidance in Section 4 of the </w:t>
            </w:r>
            <w:hyperlink r:id="rId11" w:history="1">
              <w:r w:rsidRPr="00066C6F">
                <w:rPr>
                  <w:rStyle w:val="Hyperlink"/>
                  <w:rFonts w:ascii="Arial" w:eastAsia="Arial" w:hAnsi="Arial" w:cs="Arial"/>
                  <w:b w:val="0"/>
                  <w:bCs w:val="0"/>
                  <w:spacing w:val="6"/>
                  <w:sz w:val="20"/>
                  <w:szCs w:val="20"/>
                </w:rPr>
                <w:t>Guidelines for Promotion of Assistant and Associate Professors</w:t>
              </w:r>
            </w:hyperlink>
            <w: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when writing these statements.</w:t>
            </w:r>
          </w:p>
          <w:p w14:paraId="417E58C6" w14:textId="65ACCE82" w:rsidR="00865EEF" w:rsidRDefault="00066C6F" w:rsidP="00C37DE3">
            <w:pPr>
              <w:ind w:left="462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-2468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8B" w:rsidRPr="00F0622D">
                  <w:rPr>
                    <w:rFonts w:ascii="Segoe UI Symbol" w:eastAsia="MS Gothic" w:hAnsi="Segoe UI Symbol" w:cs="Segoe UI Symbol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86698A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H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ead 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o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f 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D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epartment’s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statement/recommendation</w:t>
            </w:r>
          </w:p>
          <w:p w14:paraId="6816E072" w14:textId="43018051" w:rsidR="00F813CF" w:rsidRPr="00F0622D" w:rsidRDefault="00066C6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17150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CF" w:rsidRPr="00F0622D">
                  <w:rPr>
                    <w:rFonts w:ascii="Segoe UI Symbol" w:eastAsia="MS Gothic" w:hAnsi="Segoe UI Symbol" w:cs="Segoe UI Symbol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F813CF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="00F813CF" w:rsidRPr="00A332F2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The candidate’s PGCertHE</w:t>
            </w:r>
            <w:r w:rsidR="00F813CF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Status. Normally the successful completion of the PGCertHE Full Fellowship programme is a requirement for passing probation for staff under the ECT, although this requirement can be waived, in exceptional circumstances, for some individuals upon appointment. The Head of Department’s</w:t>
            </w:r>
            <w:r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lastRenderedPageBreak/>
              <w:t>Statement/recommendation should make clear the candidate’s PGCertHE status for the panel.</w:t>
            </w:r>
          </w:p>
          <w:p w14:paraId="27208616" w14:textId="43A5BE1F" w:rsidR="00865EEF" w:rsidRPr="00F0622D" w:rsidRDefault="00066C6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-102178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8A" w:rsidRPr="00F0622D">
                  <w:rPr>
                    <w:rFonts w:ascii="MS Gothic" w:eastAsia="MS Gothic" w:hAnsi="MS Gothic" w:cs="Arial" w:hint="eastAsia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86698A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A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ll complete 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EPR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forms</w:t>
            </w:r>
          </w:p>
          <w:p w14:paraId="25C4D1E3" w14:textId="4F1CF44A" w:rsidR="00865EEF" w:rsidRPr="00F0622D" w:rsidRDefault="00066C6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-178619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8B" w:rsidRPr="00F0622D">
                  <w:rPr>
                    <w:rFonts w:ascii="Segoe UI Symbol" w:eastAsia="MS Gothic" w:hAnsi="Segoe UI Symbol" w:cs="Segoe UI Symbol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86698A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T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eaching </w:t>
            </w:r>
            <w:r w:rsidR="00F813C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s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urvey results</w:t>
            </w:r>
          </w:p>
          <w:p w14:paraId="0AB4A76B" w14:textId="5ED759A5" w:rsidR="00865EEF" w:rsidRPr="00F0622D" w:rsidRDefault="00066C6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25888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8B" w:rsidRPr="00F0622D">
                  <w:rPr>
                    <w:rFonts w:ascii="Segoe UI Symbol" w:eastAsia="MS Gothic" w:hAnsi="Segoe UI Symbol" w:cs="Segoe UI Symbol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86698A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S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tudent endorsement letters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, if available</w:t>
            </w:r>
          </w:p>
          <w:p w14:paraId="47317832" w14:textId="77777777" w:rsidR="00C37DE3" w:rsidRDefault="00066C6F" w:rsidP="00C37DE3">
            <w:pPr>
              <w:ind w:left="462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36402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8B" w:rsidRPr="00F0622D">
                  <w:rPr>
                    <w:rFonts w:ascii="Segoe UI Symbol" w:eastAsia="MS Gothic" w:hAnsi="Segoe UI Symbol" w:cs="Segoe UI Symbol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86698A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T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eaching observation reports 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conducted by</w:t>
            </w:r>
            <w:r w:rsidR="00F813C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the Department and the LSE Eden Centre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, if available</w:t>
            </w:r>
          </w:p>
          <w:p w14:paraId="1752A17E" w14:textId="2691ECAD" w:rsidR="00865EEF" w:rsidRPr="00F0622D" w:rsidRDefault="00066C6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id w:val="-15313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8B" w:rsidRPr="00F0622D">
                  <w:rPr>
                    <w:rFonts w:ascii="Segoe UI Symbol" w:eastAsia="MS Gothic" w:hAnsi="Segoe UI Symbol" w:cs="Segoe UI Symbol"/>
                    <w:b w:val="0"/>
                    <w:bCs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86698A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 A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ny </w:t>
            </w:r>
            <w:r w:rsidR="00F813CF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 xml:space="preserve">further </w:t>
            </w:r>
            <w:r w:rsidR="00865EEF"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evidence submitted in support of the candidate’s CV that serves to illustrate</w:t>
            </w:r>
          </w:p>
          <w:p w14:paraId="580A12FF" w14:textId="77777777" w:rsidR="00865EEF" w:rsidRPr="00F0622D" w:rsidRDefault="00865EE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their contribution, e.g. relevant teaching materials and/or evidence of particular</w:t>
            </w:r>
          </w:p>
          <w:p w14:paraId="1587B1A2" w14:textId="77777777" w:rsidR="00865EEF" w:rsidRPr="00F0622D" w:rsidRDefault="00865EEF" w:rsidP="00C37DE3">
            <w:pPr>
              <w:ind w:left="462"/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</w:pPr>
            <w:r w:rsidRPr="00F0622D">
              <w:rPr>
                <w:rFonts w:ascii="Arial" w:eastAsia="Arial" w:hAnsi="Arial" w:cs="Arial"/>
                <w:b w:val="0"/>
                <w:bCs w:val="0"/>
                <w:spacing w:val="6"/>
                <w:sz w:val="20"/>
                <w:szCs w:val="20"/>
              </w:rPr>
              <w:t>educational developments or innovations.</w:t>
            </w:r>
          </w:p>
          <w:p w14:paraId="1A43153A" w14:textId="77777777" w:rsidR="00B82492" w:rsidRPr="0086698A" w:rsidRDefault="00B82492" w:rsidP="00C37DE3">
            <w:pPr>
              <w:ind w:left="462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</w:p>
        </w:tc>
      </w:tr>
    </w:tbl>
    <w:p w14:paraId="29C60FED" w14:textId="159F97DE" w:rsidR="00B82492" w:rsidRPr="0086698A" w:rsidRDefault="00B82492" w:rsidP="00B41111">
      <w:pPr>
        <w:rPr>
          <w:rFonts w:ascii="Arial" w:eastAsia="Arial" w:hAnsi="Arial" w:cs="Arial"/>
          <w:b/>
          <w:spacing w:val="6"/>
          <w:sz w:val="20"/>
          <w:szCs w:val="20"/>
        </w:rPr>
      </w:pPr>
    </w:p>
    <w:sectPr w:rsidR="00B82492" w:rsidRPr="0086698A">
      <w:headerReference w:type="default" r:id="rId12"/>
      <w:footerReference w:type="default" r:id="rId13"/>
      <w:pgSz w:w="11906" w:h="16838"/>
      <w:pgMar w:top="1440" w:right="1276" w:bottom="1135" w:left="1276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FD2A" w14:textId="77777777" w:rsidR="00691EB9" w:rsidRDefault="00691EB9">
      <w:r>
        <w:separator/>
      </w:r>
    </w:p>
  </w:endnote>
  <w:endnote w:type="continuationSeparator" w:id="0">
    <w:p w14:paraId="2BC53900" w14:textId="77777777" w:rsidR="00691EB9" w:rsidRDefault="0069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E44B" w14:textId="77777777" w:rsidR="0057422A" w:rsidRDefault="00402ACF">
    <w:pPr>
      <w:pStyle w:val="Footer"/>
      <w:ind w:right="-427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C044B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C044B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8209" w14:textId="77777777" w:rsidR="00691EB9" w:rsidRDefault="00691EB9">
      <w:r>
        <w:separator/>
      </w:r>
    </w:p>
  </w:footnote>
  <w:footnote w:type="continuationSeparator" w:id="0">
    <w:p w14:paraId="2906B2A1" w14:textId="77777777" w:rsidR="00691EB9" w:rsidRDefault="0069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187A" w14:textId="77777777" w:rsidR="0057422A" w:rsidRDefault="00402A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0247FA0D" wp14:editId="1E508217">
          <wp:extent cx="1778000" cy="609600"/>
          <wp:effectExtent l="0" t="0" r="0" b="0"/>
          <wp:docPr id="1" name="Picture 1" descr="HR_Logo_2010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  <w:p w14:paraId="6DF5F009" w14:textId="77777777" w:rsidR="0057422A" w:rsidRDefault="00574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5A"/>
    <w:multiLevelType w:val="multilevel"/>
    <w:tmpl w:val="9F646C6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B0B73"/>
    <w:multiLevelType w:val="multilevel"/>
    <w:tmpl w:val="B75E0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A775D"/>
    <w:multiLevelType w:val="multilevel"/>
    <w:tmpl w:val="E05833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56D5299"/>
    <w:multiLevelType w:val="multilevel"/>
    <w:tmpl w:val="FC84F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70403D8"/>
    <w:multiLevelType w:val="multilevel"/>
    <w:tmpl w:val="385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BAC1695"/>
    <w:multiLevelType w:val="multilevel"/>
    <w:tmpl w:val="0574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C1340"/>
    <w:multiLevelType w:val="multilevel"/>
    <w:tmpl w:val="850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9C91606"/>
    <w:multiLevelType w:val="multilevel"/>
    <w:tmpl w:val="39BE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A06088"/>
    <w:multiLevelType w:val="multilevel"/>
    <w:tmpl w:val="0A802C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75690B49"/>
    <w:multiLevelType w:val="hybridMultilevel"/>
    <w:tmpl w:val="5B10C782"/>
    <w:lvl w:ilvl="0" w:tplc="080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773207733">
    <w:abstractNumId w:val="2"/>
  </w:num>
  <w:num w:numId="2" w16cid:durableId="1864392851">
    <w:abstractNumId w:val="8"/>
  </w:num>
  <w:num w:numId="3" w16cid:durableId="68773473">
    <w:abstractNumId w:val="0"/>
  </w:num>
  <w:num w:numId="4" w16cid:durableId="1447656663">
    <w:abstractNumId w:val="5"/>
  </w:num>
  <w:num w:numId="5" w16cid:durableId="1822113544">
    <w:abstractNumId w:val="7"/>
  </w:num>
  <w:num w:numId="6" w16cid:durableId="251161218">
    <w:abstractNumId w:val="4"/>
  </w:num>
  <w:num w:numId="7" w16cid:durableId="1480725152">
    <w:abstractNumId w:val="6"/>
  </w:num>
  <w:num w:numId="8" w16cid:durableId="410003173">
    <w:abstractNumId w:val="1"/>
  </w:num>
  <w:num w:numId="9" w16cid:durableId="1768773458">
    <w:abstractNumId w:val="3"/>
  </w:num>
  <w:num w:numId="10" w16cid:durableId="1854687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2A"/>
    <w:rsid w:val="00023DD3"/>
    <w:rsid w:val="00066C6F"/>
    <w:rsid w:val="000B760D"/>
    <w:rsid w:val="00291C66"/>
    <w:rsid w:val="002F3DC2"/>
    <w:rsid w:val="002F7376"/>
    <w:rsid w:val="003D5563"/>
    <w:rsid w:val="00402ACF"/>
    <w:rsid w:val="004E6F81"/>
    <w:rsid w:val="00527E37"/>
    <w:rsid w:val="0057422A"/>
    <w:rsid w:val="00691EB9"/>
    <w:rsid w:val="006B2A38"/>
    <w:rsid w:val="00777EF5"/>
    <w:rsid w:val="007B449B"/>
    <w:rsid w:val="008141E7"/>
    <w:rsid w:val="008247E4"/>
    <w:rsid w:val="00865EEF"/>
    <w:rsid w:val="0086698A"/>
    <w:rsid w:val="009760FE"/>
    <w:rsid w:val="00A5558B"/>
    <w:rsid w:val="00AF38BD"/>
    <w:rsid w:val="00B24CBE"/>
    <w:rsid w:val="00B27E86"/>
    <w:rsid w:val="00B41111"/>
    <w:rsid w:val="00B6091F"/>
    <w:rsid w:val="00B82492"/>
    <w:rsid w:val="00B93FA2"/>
    <w:rsid w:val="00BA4FDE"/>
    <w:rsid w:val="00BF0B46"/>
    <w:rsid w:val="00C3108A"/>
    <w:rsid w:val="00C32F25"/>
    <w:rsid w:val="00C37DE3"/>
    <w:rsid w:val="00C87DD7"/>
    <w:rsid w:val="00C92074"/>
    <w:rsid w:val="00C92961"/>
    <w:rsid w:val="00CE516E"/>
    <w:rsid w:val="00D858DF"/>
    <w:rsid w:val="00E20C96"/>
    <w:rsid w:val="00E638E6"/>
    <w:rsid w:val="00F0622D"/>
    <w:rsid w:val="00F813CF"/>
    <w:rsid w:val="00FC044B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447E"/>
  <w15:docId w15:val="{E26D6443-935B-4F19-A052-0D166874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qFormat/>
    <w:pPr>
      <w:spacing w:before="40" w:after="40"/>
      <w:jc w:val="center"/>
      <w:outlineLvl w:val="2"/>
    </w:pPr>
    <w:rPr>
      <w:rFonts w:ascii="Arial" w:eastAsia="Arial" w:hAnsi="Arial" w:cs="Arial"/>
      <w:b/>
      <w:color w:val="FFFFF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customStyle="1" w:styleId="notes2">
    <w:name w:val="notes2"/>
    <w:basedOn w:val="Normal"/>
    <w:rPr>
      <w:szCs w:val="20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929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8DF"/>
    <w:rPr>
      <w:color w:val="800080" w:themeColor="followedHyperlink"/>
      <w:u w:val="single"/>
    </w:rPr>
  </w:style>
  <w:style w:type="paragraph" w:customStyle="1" w:styleId="Default">
    <w:name w:val="Default"/>
    <w:rsid w:val="00E638E6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E638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638E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B824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A4FD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lse.ac.uk/staff/divisions/Human-Resources/Assets/Documents/RRP/ECT-Guidelines-2024-2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.reviewandpromotion@lse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.reviewandpromotion@lse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9BCA-F882-4DBC-BADC-B0A40762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Probationary Review Form</vt:lpstr>
    </vt:vector>
  </TitlesOfParts>
  <Company>London School of Economics and Political Science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Probationary Review Form</dc:title>
  <dc:creator>Kalghatgi,N</dc:creator>
  <cp:lastModifiedBy>Kalghatgi,N</cp:lastModifiedBy>
  <cp:revision>3</cp:revision>
  <cp:lastPrinted>2010-10-12T17:09:00Z</cp:lastPrinted>
  <dcterms:created xsi:type="dcterms:W3CDTF">2024-09-18T14:47:00Z</dcterms:created>
  <dcterms:modified xsi:type="dcterms:W3CDTF">2024-09-26T13:29:00Z</dcterms:modified>
</cp:coreProperties>
</file>