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0689D" w14:textId="77777777" w:rsidR="00E2780B" w:rsidRPr="00C56C72" w:rsidRDefault="00E2780B" w:rsidP="00E2780B">
      <w:pPr>
        <w:pStyle w:val="Heading1"/>
        <w:rPr>
          <w:b w:val="0"/>
          <w:color w:val="CC0926"/>
          <w:sz w:val="44"/>
        </w:rPr>
      </w:pPr>
      <w:r w:rsidRPr="00C56C72">
        <w:rPr>
          <w:b w:val="0"/>
          <w:color w:val="CC0926"/>
          <w:sz w:val="44"/>
        </w:rPr>
        <w:t>Job Description</w:t>
      </w:r>
    </w:p>
    <w:p w14:paraId="55EA1A43" w14:textId="77777777" w:rsidR="00E2780B" w:rsidRDefault="00E2780B" w:rsidP="00E2780B">
      <w:pPr>
        <w:pStyle w:val="Heading1"/>
        <w:rPr>
          <w:sz w:val="24"/>
        </w:rPr>
      </w:pPr>
    </w:p>
    <w:p w14:paraId="10FE6445" w14:textId="77777777" w:rsidR="00E2780B" w:rsidRPr="00DD3C9C" w:rsidRDefault="00E2780B" w:rsidP="00E2780B">
      <w:pPr>
        <w:pStyle w:val="Heading1"/>
        <w:rPr>
          <w:b w:val="0"/>
          <w:sz w:val="20"/>
        </w:rPr>
      </w:pPr>
      <w:r w:rsidRPr="00DD3C9C">
        <w:rPr>
          <w:b w:val="0"/>
          <w:sz w:val="20"/>
        </w:rPr>
        <w:t>This form summarises the purpose of the job and lists its</w:t>
      </w:r>
      <w:r w:rsidR="00CA2CFD">
        <w:rPr>
          <w:b w:val="0"/>
          <w:sz w:val="20"/>
        </w:rPr>
        <w:t xml:space="preserve"> key tasks. It is not a definitive</w:t>
      </w:r>
      <w:r w:rsidRPr="00DD3C9C">
        <w:rPr>
          <w:b w:val="0"/>
          <w:sz w:val="20"/>
        </w:rPr>
        <w:t xml:space="preserve"> list of all the tasks to be undertaken as those can be varied from time to time at the discretion of the School, in consultation with the postholder.</w:t>
      </w:r>
    </w:p>
    <w:p w14:paraId="0A595C13" w14:textId="77777777" w:rsidR="00E2780B" w:rsidRDefault="00E2780B">
      <w:pPr>
        <w:rPr>
          <w:rFonts w:ascii="Arial" w:hAnsi="Arial"/>
          <w:sz w:val="18"/>
        </w:rPr>
      </w:pPr>
    </w:p>
    <w:p w14:paraId="212DF070" w14:textId="77777777" w:rsidR="008F7D1E" w:rsidRDefault="008F7D1E" w:rsidP="008F7D1E">
      <w:pPr>
        <w:rPr>
          <w:rFonts w:ascii="Arial" w:hAnsi="Arial"/>
          <w:sz w:val="20"/>
        </w:rPr>
      </w:pPr>
    </w:p>
    <w:p w14:paraId="7A6DC09E" w14:textId="77777777" w:rsidR="008F7D1E" w:rsidRDefault="006A63D8" w:rsidP="008F7D1E">
      <w:pPr>
        <w:rPr>
          <w:rFonts w:ascii="Arial" w:hAnsi="Arial"/>
          <w:sz w:val="18"/>
        </w:rPr>
      </w:pPr>
      <w:r>
        <w:rPr>
          <w:rFonts w:ascii="Arial" w:hAnsi="Arial"/>
          <w:noProof/>
          <w:sz w:val="18"/>
          <w:lang w:eastAsia="en-GB"/>
        </w:rPr>
        <mc:AlternateContent>
          <mc:Choice Requires="wps">
            <w:drawing>
              <wp:anchor distT="0" distB="0" distL="114300" distR="114300" simplePos="0" relativeHeight="251657215" behindDoc="0" locked="0" layoutInCell="0" allowOverlap="1" wp14:anchorId="158847A3" wp14:editId="2830FBE0">
                <wp:simplePos x="0" y="0"/>
                <wp:positionH relativeFrom="column">
                  <wp:posOffset>0</wp:posOffset>
                </wp:positionH>
                <wp:positionV relativeFrom="paragraph">
                  <wp:posOffset>0</wp:posOffset>
                </wp:positionV>
                <wp:extent cx="6084000" cy="468000"/>
                <wp:effectExtent l="38100" t="38100" r="31115" b="4635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000" cy="468000"/>
                        </a:xfrm>
                        <a:prstGeom prst="rect">
                          <a:avLst/>
                        </a:prstGeom>
                        <a:solidFill>
                          <a:srgbClr val="FFFFFF"/>
                        </a:solidFill>
                        <a:ln w="76200">
                          <a:solidFill>
                            <a:srgbClr val="C0C0C0"/>
                          </a:solidFill>
                          <a:miter lim="800000"/>
                          <a:headEnd/>
                          <a:tailEnd/>
                        </a:ln>
                      </wps:spPr>
                      <wps:txbx>
                        <w:txbxContent>
                          <w:p w14:paraId="18D67297" w14:textId="77777777" w:rsidR="00894E0B" w:rsidRPr="00C910C2" w:rsidRDefault="00894E0B" w:rsidP="00CD3A09">
                            <w:pPr>
                              <w:tabs>
                                <w:tab w:val="left" w:pos="4678"/>
                              </w:tabs>
                              <w:rPr>
                                <w:rFonts w:ascii="Arial" w:hAnsi="Arial"/>
                                <w:sz w:val="20"/>
                              </w:rPr>
                            </w:pPr>
                            <w:r>
                              <w:rPr>
                                <w:rFonts w:ascii="Arial" w:hAnsi="Arial"/>
                                <w:b/>
                                <w:sz w:val="20"/>
                              </w:rPr>
                              <w:t>Job title:</w:t>
                            </w:r>
                            <w:r w:rsidR="00E14D9E">
                              <w:rPr>
                                <w:rFonts w:ascii="Arial" w:hAnsi="Arial"/>
                                <w:b/>
                                <w:sz w:val="20"/>
                              </w:rPr>
                              <w:t xml:space="preserve"> LSE Fellow (Band 6)</w:t>
                            </w:r>
                            <w:r>
                              <w:rPr>
                                <w:rFonts w:ascii="Arial" w:hAnsi="Arial"/>
                                <w:b/>
                                <w:sz w:val="20"/>
                              </w:rPr>
                              <w:tab/>
                            </w:r>
                            <w:r>
                              <w:rPr>
                                <w:rFonts w:ascii="Arial" w:hAnsi="Arial"/>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0;width:479.05pt;height:36.8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" o:allowincell="f" strokecolor="silver" strokeweight="6pt">
                <v:textbox>
                  <w:txbxContent>
                    <w:p w:rsidR="00894E0B" w:rsidRPr="00C910C2" w:rsidRDefault="00894E0B" w:rsidP="00CD3A09">
                      <w:pPr>
                        <w:tabs>
                          <w:tab w:val="left" w:pos="4678"/>
                        </w:tabs>
                        <w:rPr>
                          <w:rFonts w:ascii="Arial" w:hAnsi="Arial"/>
                          <w:sz w:val="20"/>
                        </w:rPr>
                      </w:pPr>
                      <w:r>
                        <w:rPr>
                          <w:rFonts w:ascii="Arial" w:hAnsi="Arial"/>
                          <w:b/>
                          <w:sz w:val="20"/>
                        </w:rPr>
                        <w:t>Job title:</w:t>
                      </w:r>
                      <w:r w:rsidR="00E14D9E">
                        <w:rPr>
                          <w:rFonts w:ascii="Arial" w:hAnsi="Arial"/>
                          <w:b/>
                          <w:sz w:val="20"/>
                        </w:rPr>
                        <w:t xml:space="preserve"> </w:t>
                      </w:r>
                      <w:r w:rsidR="00E14D9E">
                        <w:rPr>
                          <w:rFonts w:ascii="Arial" w:hAnsi="Arial"/>
                          <w:b/>
                          <w:sz w:val="20"/>
                        </w:rPr>
                        <w:t>LSE Fellow (Band 6)</w:t>
                      </w:r>
                      <w:r>
                        <w:rPr>
                          <w:rFonts w:ascii="Arial" w:hAnsi="Arial"/>
                          <w:b/>
                          <w:sz w:val="20"/>
                        </w:rPr>
                        <w:tab/>
                      </w:r>
                      <w:r>
                        <w:rPr>
                          <w:rFonts w:ascii="Arial" w:hAnsi="Arial"/>
                          <w:sz w:val="20"/>
                        </w:rPr>
                        <w:t xml:space="preserve"> </w:t>
                      </w:r>
                    </w:p>
                  </w:txbxContent>
                </v:textbox>
              </v:shape>
            </w:pict>
          </mc:Fallback>
        </mc:AlternateContent>
      </w:r>
    </w:p>
    <w:p w14:paraId="5F83559F" w14:textId="77777777" w:rsidR="008F7D1E" w:rsidRDefault="008F7D1E" w:rsidP="008F7D1E">
      <w:pPr>
        <w:rPr>
          <w:rFonts w:ascii="Arial" w:hAnsi="Arial"/>
          <w:sz w:val="20"/>
        </w:rPr>
      </w:pPr>
    </w:p>
    <w:p w14:paraId="4C78A813" w14:textId="77777777" w:rsidR="008F7D1E" w:rsidRDefault="008F7D1E" w:rsidP="008F7D1E">
      <w:pPr>
        <w:rPr>
          <w:rFonts w:ascii="Arial" w:hAnsi="Arial"/>
          <w:sz w:val="20"/>
        </w:rPr>
      </w:pPr>
    </w:p>
    <w:p w14:paraId="4BD4CFA5" w14:textId="77777777" w:rsidR="008F7D1E" w:rsidRDefault="006A63D8" w:rsidP="008F7D1E">
      <w:pPr>
        <w:rPr>
          <w:rFonts w:ascii="Arial" w:hAnsi="Arial"/>
          <w:sz w:val="20"/>
        </w:rPr>
      </w:pPr>
      <w:r>
        <w:rPr>
          <w:rFonts w:ascii="Arial" w:hAnsi="Arial"/>
          <w:noProof/>
          <w:sz w:val="20"/>
          <w:lang w:eastAsia="en-GB"/>
        </w:rPr>
        <mc:AlternateContent>
          <mc:Choice Requires="wps">
            <w:drawing>
              <wp:anchor distT="0" distB="0" distL="114300" distR="114300" simplePos="0" relativeHeight="251658240" behindDoc="0" locked="0" layoutInCell="1" allowOverlap="1" wp14:anchorId="7A3B9B09" wp14:editId="5BB7A03A">
                <wp:simplePos x="0" y="0"/>
                <wp:positionH relativeFrom="column">
                  <wp:posOffset>0</wp:posOffset>
                </wp:positionH>
                <wp:positionV relativeFrom="paragraph">
                  <wp:posOffset>0</wp:posOffset>
                </wp:positionV>
                <wp:extent cx="6084000" cy="468000"/>
                <wp:effectExtent l="38100" t="38100" r="31115" b="4635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000" cy="468000"/>
                        </a:xfrm>
                        <a:prstGeom prst="rect">
                          <a:avLst/>
                        </a:prstGeom>
                        <a:solidFill>
                          <a:srgbClr val="FFFFFF"/>
                        </a:solidFill>
                        <a:ln w="76200">
                          <a:solidFill>
                            <a:srgbClr val="C0C0C0"/>
                          </a:solidFill>
                          <a:miter lim="800000"/>
                          <a:headEnd/>
                          <a:tailEnd/>
                        </a:ln>
                      </wps:spPr>
                      <wps:txbx>
                        <w:txbxContent>
                          <w:p w14:paraId="14CE419E" w14:textId="77777777" w:rsidR="00894E0B" w:rsidRPr="00C910C2" w:rsidRDefault="00A770C6" w:rsidP="00CD3A09">
                            <w:pPr>
                              <w:tabs>
                                <w:tab w:val="left" w:pos="4678"/>
                              </w:tabs>
                              <w:rPr>
                                <w:rFonts w:ascii="Arial" w:hAnsi="Arial"/>
                                <w:sz w:val="20"/>
                              </w:rPr>
                            </w:pPr>
                            <w:r>
                              <w:rPr>
                                <w:rFonts w:ascii="Arial" w:hAnsi="Arial"/>
                                <w:b/>
                                <w:sz w:val="20"/>
                              </w:rPr>
                              <w:t xml:space="preserve">Department/Centre/Institute: </w:t>
                            </w:r>
                            <w:r w:rsidRPr="00E14D9E">
                              <w:rPr>
                                <w:rFonts w:ascii="Arial" w:hAnsi="Arial"/>
                                <w:b/>
                                <w:color w:val="FF0000"/>
                                <w:sz w:val="20"/>
                              </w:rPr>
                              <w:t>XX</w:t>
                            </w:r>
                            <w:r w:rsidR="00880969">
                              <w:rPr>
                                <w:rFonts w:ascii="Arial" w:hAnsi="Arial"/>
                                <w:sz w:val="20"/>
                              </w:rPr>
                              <w:tab/>
                            </w:r>
                            <w:r w:rsidR="00894E0B">
                              <w:rPr>
                                <w:rFonts w:ascii="Arial" w:hAnsi="Arial"/>
                                <w:b/>
                                <w:sz w:val="20"/>
                              </w:rPr>
                              <w:t>Accountable to:</w:t>
                            </w:r>
                            <w:r w:rsidR="00894E0B">
                              <w:rPr>
                                <w:rFonts w:ascii="Arial" w:hAnsi="Arial"/>
                                <w:sz w:val="20"/>
                              </w:rPr>
                              <w:t xml:space="preserve"> </w:t>
                            </w:r>
                            <w:r w:rsidR="00E14D9E" w:rsidRPr="00E14D9E">
                              <w:rPr>
                                <w:rFonts w:ascii="Arial" w:hAnsi="Arial"/>
                                <w:b/>
                                <w:color w:val="FF0000"/>
                                <w:sz w:val="20"/>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0;margin-top:0;width:479.05pt;height:3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" strokecolor="silver" strokeweight="6pt">
                <v:textbox>
                  <w:txbxContent>
                    <w:p w:rsidR="00894E0B" w:rsidRPr="00C910C2" w:rsidRDefault="00A770C6" w:rsidP="00CD3A09">
                      <w:pPr>
                        <w:tabs>
                          <w:tab w:val="left" w:pos="4678"/>
                        </w:tabs>
                        <w:rPr>
                          <w:rFonts w:ascii="Arial" w:hAnsi="Arial"/>
                          <w:sz w:val="20"/>
                        </w:rPr>
                      </w:pPr>
                      <w:r>
                        <w:rPr>
                          <w:rFonts w:ascii="Arial" w:hAnsi="Arial"/>
                          <w:b/>
                          <w:sz w:val="20"/>
                        </w:rPr>
                        <w:t xml:space="preserve">Department/Centre/Institute: </w:t>
                      </w:r>
                      <w:r w:rsidRPr="00E14D9E">
                        <w:rPr>
                          <w:rFonts w:ascii="Arial" w:hAnsi="Arial"/>
                          <w:b/>
                          <w:color w:val="FF0000"/>
                          <w:sz w:val="20"/>
                        </w:rPr>
                        <w:t>XX</w:t>
                      </w:r>
                      <w:r w:rsidR="00880969">
                        <w:rPr>
                          <w:rFonts w:ascii="Arial" w:hAnsi="Arial"/>
                          <w:sz w:val="20"/>
                        </w:rPr>
                        <w:tab/>
                      </w:r>
                      <w:r w:rsidR="00894E0B">
                        <w:rPr>
                          <w:rFonts w:ascii="Arial" w:hAnsi="Arial"/>
                          <w:b/>
                          <w:sz w:val="20"/>
                        </w:rPr>
                        <w:t>Accountable to:</w:t>
                      </w:r>
                      <w:r w:rsidR="00894E0B">
                        <w:rPr>
                          <w:rFonts w:ascii="Arial" w:hAnsi="Arial"/>
                          <w:sz w:val="20"/>
                        </w:rPr>
                        <w:t xml:space="preserve"> </w:t>
                      </w:r>
                      <w:r w:rsidR="00E14D9E" w:rsidRPr="00E14D9E">
                        <w:rPr>
                          <w:rFonts w:ascii="Arial" w:hAnsi="Arial"/>
                          <w:b/>
                          <w:color w:val="FF0000"/>
                          <w:sz w:val="20"/>
                        </w:rPr>
                        <w:t>XX</w:t>
                      </w:r>
                    </w:p>
                  </w:txbxContent>
                </v:textbox>
              </v:shape>
            </w:pict>
          </mc:Fallback>
        </mc:AlternateContent>
      </w:r>
    </w:p>
    <w:p w14:paraId="3E2ED89D" w14:textId="77777777" w:rsidR="008F7D1E" w:rsidRDefault="008F7D1E" w:rsidP="008F7D1E">
      <w:pPr>
        <w:rPr>
          <w:rFonts w:ascii="Arial" w:hAnsi="Arial"/>
          <w:sz w:val="20"/>
        </w:rPr>
      </w:pPr>
    </w:p>
    <w:p w14:paraId="2638D98D" w14:textId="77777777" w:rsidR="008F7D1E" w:rsidRDefault="008F7D1E" w:rsidP="008F7D1E">
      <w:pPr>
        <w:rPr>
          <w:rFonts w:ascii="Arial" w:hAnsi="Arial"/>
          <w:sz w:val="20"/>
        </w:rPr>
      </w:pPr>
    </w:p>
    <w:p w14:paraId="6DFEB9E1" w14:textId="77777777" w:rsidR="008F7D1E" w:rsidRDefault="008F7D1E" w:rsidP="008F7D1E">
      <w:pPr>
        <w:rPr>
          <w:rFonts w:ascii="Arial" w:hAnsi="Arial"/>
          <w:sz w:val="20"/>
        </w:rPr>
      </w:pPr>
    </w:p>
    <w:p w14:paraId="602DEDC3" w14:textId="77777777" w:rsidR="008F7D1E" w:rsidRPr="00C73C2A" w:rsidRDefault="008F7D1E">
      <w:pPr>
        <w:rPr>
          <w:rFonts w:ascii="Arial" w:hAnsi="Arial" w:cs="Arial"/>
          <w:sz w:val="20"/>
        </w:rPr>
      </w:pPr>
    </w:p>
    <w:tbl>
      <w:tblPr>
        <w:tblpPr w:leftFromText="181" w:rightFromText="181" w:vertAnchor="text" w:horzAnchor="margin" w:tblpX="-11" w:tblpY="1"/>
        <w:tblW w:w="9579" w:type="dxa"/>
        <w:tblBorders>
          <w:top w:val="single" w:sz="48" w:space="0" w:color="C0C0C0"/>
          <w:left w:val="single" w:sz="48" w:space="0" w:color="C0C0C0"/>
          <w:bottom w:val="single" w:sz="48" w:space="0" w:color="C0C0C0"/>
          <w:right w:val="single" w:sz="48" w:space="0" w:color="C0C0C0"/>
        </w:tblBorders>
        <w:shd w:val="clear" w:color="auto" w:fill="FFFFFF"/>
        <w:tblLook w:val="0000" w:firstRow="0" w:lastRow="0" w:firstColumn="0" w:lastColumn="0" w:noHBand="0" w:noVBand="0"/>
      </w:tblPr>
      <w:tblGrid>
        <w:gridCol w:w="9579"/>
      </w:tblGrid>
      <w:tr w:rsidR="00B67530" w:rsidRPr="00C73C2A" w14:paraId="2FA66A52" w14:textId="77777777" w:rsidTr="000E2509">
        <w:trPr>
          <w:trHeight w:val="589"/>
        </w:trPr>
        <w:tc>
          <w:tcPr>
            <w:tcW w:w="9579" w:type="dxa"/>
            <w:shd w:val="clear" w:color="auto" w:fill="FFFFFF"/>
          </w:tcPr>
          <w:p w14:paraId="5D0749F3" w14:textId="794C41B6" w:rsidR="00B67530" w:rsidRDefault="00C910C2" w:rsidP="000E2509">
            <w:pPr>
              <w:rPr>
                <w:rFonts w:ascii="Arial" w:hAnsi="Arial" w:cs="Arial"/>
                <w:b/>
                <w:bCs/>
                <w:sz w:val="20"/>
              </w:rPr>
            </w:pPr>
            <w:r w:rsidRPr="006A7039">
              <w:rPr>
                <w:rFonts w:ascii="Arial" w:hAnsi="Arial" w:cs="Arial"/>
                <w:b/>
                <w:bCs/>
                <w:sz w:val="20"/>
              </w:rPr>
              <w:t>Job Summary</w:t>
            </w:r>
          </w:p>
          <w:p w14:paraId="7D81EDCE" w14:textId="77777777" w:rsidR="006A7039" w:rsidRPr="006A7039" w:rsidRDefault="006A7039" w:rsidP="000E2509">
            <w:pPr>
              <w:rPr>
                <w:rFonts w:ascii="Arial" w:hAnsi="Arial" w:cs="Arial"/>
                <w:b/>
                <w:bCs/>
                <w:sz w:val="20"/>
              </w:rPr>
            </w:pPr>
          </w:p>
          <w:p w14:paraId="62AD8F8A" w14:textId="77777777" w:rsidR="00D73E8F" w:rsidRDefault="006A7039" w:rsidP="006A7039">
            <w:pPr>
              <w:jc w:val="both"/>
              <w:rPr>
                <w:rFonts w:ascii="Arial" w:hAnsi="Arial" w:cs="Arial"/>
                <w:bCs/>
                <w:sz w:val="20"/>
                <w:lang w:eastAsia="en-GB"/>
              </w:rPr>
            </w:pPr>
            <w:r w:rsidRPr="006A7039">
              <w:rPr>
                <w:rFonts w:ascii="Arial" w:hAnsi="Arial" w:cs="Arial"/>
                <w:bCs/>
                <w:sz w:val="20"/>
                <w:lang w:eastAsia="en-GB"/>
              </w:rPr>
              <w:t xml:space="preserve">The post holder will contribute to the scholarship and intellectual life of the Department and LSE by conducting teaching and research which will enhance the </w:t>
            </w:r>
            <w:proofErr w:type="gramStart"/>
            <w:r w:rsidRPr="006A7039">
              <w:rPr>
                <w:rFonts w:ascii="Arial" w:hAnsi="Arial" w:cs="Arial"/>
                <w:bCs/>
                <w:sz w:val="20"/>
                <w:lang w:eastAsia="en-GB"/>
              </w:rPr>
              <w:t>School’s</w:t>
            </w:r>
            <w:proofErr w:type="gramEnd"/>
            <w:r w:rsidRPr="006A7039">
              <w:rPr>
                <w:rFonts w:ascii="Arial" w:hAnsi="Arial" w:cs="Arial"/>
                <w:bCs/>
                <w:sz w:val="20"/>
                <w:lang w:eastAsia="en-GB"/>
              </w:rPr>
              <w:t xml:space="preserve"> reputation as a research-led teaching institution. With appropriate mentoring from the Department, the post holder will help improve our students’ educational experience whilst gaining excellent teaching experience and developing their own research career. Teaching and student contact time will be allocated in accordance with the local departmental norm (normally up to one hundred hours per year).</w:t>
            </w:r>
          </w:p>
          <w:p w14:paraId="7BACCFA2" w14:textId="534394BA" w:rsidR="006A7039" w:rsidRPr="000E2509" w:rsidRDefault="006A7039" w:rsidP="006A7039">
            <w:pPr>
              <w:jc w:val="both"/>
              <w:rPr>
                <w:rFonts w:ascii="Arial" w:hAnsi="Arial" w:cs="Arial"/>
                <w:bCs/>
                <w:color w:val="FF0000"/>
                <w:sz w:val="20"/>
                <w:lang w:eastAsia="en-GB"/>
              </w:rPr>
            </w:pPr>
          </w:p>
        </w:tc>
      </w:tr>
    </w:tbl>
    <w:p w14:paraId="1E4997FE" w14:textId="77777777" w:rsidR="00B67530" w:rsidRDefault="00B67530">
      <w:pPr>
        <w:rPr>
          <w:rFonts w:ascii="Arial" w:hAnsi="Arial"/>
          <w:sz w:val="20"/>
        </w:rPr>
      </w:pPr>
    </w:p>
    <w:tbl>
      <w:tblPr>
        <w:tblW w:w="0" w:type="auto"/>
        <w:tblInd w:w="-60" w:type="dxa"/>
        <w:tblBorders>
          <w:top w:val="single" w:sz="48" w:space="0" w:color="C0C0C0"/>
          <w:left w:val="single" w:sz="48" w:space="0" w:color="C0C0C0"/>
          <w:bottom w:val="single" w:sz="48" w:space="0" w:color="C0C0C0"/>
          <w:right w:val="single" w:sz="48" w:space="0" w:color="C0C0C0"/>
          <w:insideH w:val="single" w:sz="48" w:space="0" w:color="C0C0C0"/>
          <w:insideV w:val="single" w:sz="48" w:space="0" w:color="C0C0C0"/>
        </w:tblBorders>
        <w:shd w:val="clear" w:color="auto" w:fill="FFFFFF"/>
        <w:tblLook w:val="0000" w:firstRow="0" w:lastRow="0" w:firstColumn="0" w:lastColumn="0" w:noHBand="0" w:noVBand="0"/>
      </w:tblPr>
      <w:tblGrid>
        <w:gridCol w:w="9578"/>
      </w:tblGrid>
      <w:tr w:rsidR="00E2780B" w14:paraId="4EFF2D2F" w14:textId="77777777" w:rsidTr="000E2509">
        <w:trPr>
          <w:trHeight w:val="348"/>
        </w:trPr>
        <w:tc>
          <w:tcPr>
            <w:tcW w:w="9578" w:type="dxa"/>
            <w:tcBorders>
              <w:bottom w:val="nil"/>
            </w:tcBorders>
            <w:shd w:val="clear" w:color="auto" w:fill="C0C0C0"/>
            <w:vAlign w:val="center"/>
          </w:tcPr>
          <w:p w14:paraId="0858BAB3" w14:textId="77777777" w:rsidR="00E2780B" w:rsidRPr="00E14D9E" w:rsidRDefault="00DF500B" w:rsidP="00E14D9E">
            <w:pPr>
              <w:rPr>
                <w:rFonts w:ascii="Arial" w:hAnsi="Arial" w:cs="Arial"/>
                <w:b/>
                <w:bCs/>
                <w:sz w:val="20"/>
              </w:rPr>
            </w:pPr>
            <w:r w:rsidRPr="00E14D9E">
              <w:rPr>
                <w:rFonts w:ascii="Arial" w:hAnsi="Arial" w:cs="Arial"/>
                <w:b/>
                <w:bCs/>
                <w:sz w:val="20"/>
              </w:rPr>
              <w:t>Duties and</w:t>
            </w:r>
            <w:r w:rsidR="00BF5CD9" w:rsidRPr="00E14D9E">
              <w:rPr>
                <w:rFonts w:ascii="Arial" w:hAnsi="Arial" w:cs="Arial"/>
                <w:b/>
                <w:bCs/>
                <w:sz w:val="20"/>
              </w:rPr>
              <w:t xml:space="preserve"> Responsibilities</w:t>
            </w:r>
            <w:r w:rsidR="00DD59BB" w:rsidRPr="00E14D9E">
              <w:rPr>
                <w:rFonts w:ascii="Arial" w:hAnsi="Arial" w:cs="Arial"/>
                <w:b/>
                <w:bCs/>
                <w:sz w:val="20"/>
              </w:rPr>
              <w:t xml:space="preserve"> </w:t>
            </w:r>
          </w:p>
        </w:tc>
      </w:tr>
      <w:tr w:rsidR="00F847C0" w14:paraId="714A4CB7" w14:textId="77777777" w:rsidTr="000E2509">
        <w:trPr>
          <w:trHeight w:val="1497"/>
        </w:trPr>
        <w:tc>
          <w:tcPr>
            <w:tcW w:w="9578" w:type="dxa"/>
            <w:tcBorders>
              <w:top w:val="nil"/>
              <w:left w:val="single" w:sz="48" w:space="0" w:color="C0C0C0"/>
              <w:bottom w:val="single" w:sz="48" w:space="0" w:color="C0C0C0"/>
              <w:right w:val="single" w:sz="48" w:space="0" w:color="C0C0C0"/>
            </w:tcBorders>
            <w:shd w:val="clear" w:color="auto" w:fill="FFFFFF"/>
          </w:tcPr>
          <w:p w14:paraId="401A9715" w14:textId="573AF7B2" w:rsidR="006A7039" w:rsidRPr="006A7039" w:rsidRDefault="006A7039" w:rsidP="006A7039">
            <w:pPr>
              <w:pStyle w:val="ListParagraph"/>
              <w:numPr>
                <w:ilvl w:val="0"/>
                <w:numId w:val="25"/>
              </w:numPr>
              <w:spacing w:before="120" w:after="120"/>
              <w:rPr>
                <w:rFonts w:ascii="Arial" w:hAnsi="Arial" w:cs="Arial"/>
                <w:sz w:val="20"/>
              </w:rPr>
            </w:pPr>
            <w:r w:rsidRPr="006A7039">
              <w:rPr>
                <w:rFonts w:ascii="Arial" w:hAnsi="Arial" w:cs="Arial"/>
                <w:sz w:val="20"/>
              </w:rPr>
              <w:t xml:space="preserve">Delivering high-quality teaching (lectures and seminars) to undergraduate and MSc students, face-to-face and online. </w:t>
            </w:r>
          </w:p>
          <w:p w14:paraId="5722C9E8" w14:textId="5FDD48F2" w:rsidR="006A7039" w:rsidRPr="006A7039" w:rsidRDefault="006A7039" w:rsidP="006A7039">
            <w:pPr>
              <w:pStyle w:val="ListParagraph"/>
              <w:numPr>
                <w:ilvl w:val="0"/>
                <w:numId w:val="25"/>
              </w:numPr>
              <w:spacing w:before="120" w:after="120"/>
              <w:rPr>
                <w:rFonts w:ascii="Arial" w:hAnsi="Arial" w:cs="Arial"/>
                <w:sz w:val="20"/>
              </w:rPr>
            </w:pPr>
            <w:r>
              <w:rPr>
                <w:rFonts w:ascii="Arial" w:hAnsi="Arial" w:cs="Arial"/>
                <w:sz w:val="20"/>
              </w:rPr>
              <w:t>Id</w:t>
            </w:r>
            <w:r w:rsidRPr="006A7039">
              <w:rPr>
                <w:rFonts w:ascii="Arial" w:hAnsi="Arial" w:cs="Arial"/>
                <w:sz w:val="20"/>
              </w:rPr>
              <w:t xml:space="preserve">entifying the learning needs of students, defining appropriate learning </w:t>
            </w:r>
            <w:proofErr w:type="gramStart"/>
            <w:r w:rsidRPr="006A7039">
              <w:rPr>
                <w:rFonts w:ascii="Arial" w:hAnsi="Arial" w:cs="Arial"/>
                <w:sz w:val="20"/>
              </w:rPr>
              <w:t>objectives</w:t>
            </w:r>
            <w:proofErr w:type="gramEnd"/>
            <w:r w:rsidRPr="006A7039">
              <w:rPr>
                <w:rFonts w:ascii="Arial" w:hAnsi="Arial" w:cs="Arial"/>
                <w:sz w:val="20"/>
              </w:rPr>
              <w:t xml:space="preserve"> and providing them with appropriate support. </w:t>
            </w:r>
          </w:p>
          <w:p w14:paraId="6CA8BBD8" w14:textId="2342D71F" w:rsidR="006A7039" w:rsidRPr="006A7039" w:rsidRDefault="006A7039" w:rsidP="006A7039">
            <w:pPr>
              <w:pStyle w:val="ListParagraph"/>
              <w:numPr>
                <w:ilvl w:val="0"/>
                <w:numId w:val="25"/>
              </w:numPr>
              <w:spacing w:before="120" w:after="120"/>
              <w:rPr>
                <w:rFonts w:ascii="Arial" w:hAnsi="Arial" w:cs="Arial"/>
                <w:sz w:val="20"/>
              </w:rPr>
            </w:pPr>
            <w:r w:rsidRPr="006A7039">
              <w:rPr>
                <w:rFonts w:ascii="Arial" w:hAnsi="Arial" w:cs="Arial"/>
                <w:sz w:val="20"/>
              </w:rPr>
              <w:t xml:space="preserve">Preparing, </w:t>
            </w:r>
            <w:proofErr w:type="gramStart"/>
            <w:r w:rsidRPr="006A7039">
              <w:rPr>
                <w:rFonts w:ascii="Arial" w:hAnsi="Arial" w:cs="Arial"/>
                <w:sz w:val="20"/>
              </w:rPr>
              <w:t>marking</w:t>
            </w:r>
            <w:proofErr w:type="gramEnd"/>
            <w:r w:rsidRPr="006A7039">
              <w:rPr>
                <w:rFonts w:ascii="Arial" w:hAnsi="Arial" w:cs="Arial"/>
                <w:sz w:val="20"/>
              </w:rPr>
              <w:t xml:space="preserve"> and providing feedback on formative and summative work, including coursework, exam papers and dissertations. </w:t>
            </w:r>
          </w:p>
          <w:p w14:paraId="203B4342" w14:textId="76A1B579" w:rsidR="006A7039" w:rsidRPr="006A7039" w:rsidRDefault="006A7039" w:rsidP="006A7039">
            <w:pPr>
              <w:pStyle w:val="ListParagraph"/>
              <w:numPr>
                <w:ilvl w:val="0"/>
                <w:numId w:val="25"/>
              </w:numPr>
              <w:spacing w:before="120" w:after="120"/>
              <w:rPr>
                <w:rFonts w:ascii="Arial" w:hAnsi="Arial" w:cs="Arial"/>
                <w:sz w:val="20"/>
              </w:rPr>
            </w:pPr>
            <w:r w:rsidRPr="006A7039">
              <w:rPr>
                <w:rFonts w:ascii="Arial" w:hAnsi="Arial" w:cs="Arial"/>
                <w:sz w:val="20"/>
              </w:rPr>
              <w:t xml:space="preserve">Participating in regular teaching meetings with academic and professional services staff. </w:t>
            </w:r>
          </w:p>
          <w:p w14:paraId="1C900323" w14:textId="261218B6" w:rsidR="006A7039" w:rsidRPr="006A7039" w:rsidRDefault="006A7039" w:rsidP="006A7039">
            <w:pPr>
              <w:pStyle w:val="ListParagraph"/>
              <w:numPr>
                <w:ilvl w:val="0"/>
                <w:numId w:val="25"/>
              </w:numPr>
              <w:spacing w:before="120" w:after="120"/>
              <w:rPr>
                <w:rFonts w:ascii="Arial" w:hAnsi="Arial" w:cs="Arial"/>
                <w:sz w:val="20"/>
              </w:rPr>
            </w:pPr>
            <w:r w:rsidRPr="006A7039">
              <w:rPr>
                <w:rFonts w:ascii="Arial" w:hAnsi="Arial" w:cs="Arial"/>
                <w:sz w:val="20"/>
              </w:rPr>
              <w:t xml:space="preserve">Working closely with professional services staff to ensure the smooth running of all aspects of teaching and assessment. </w:t>
            </w:r>
          </w:p>
          <w:p w14:paraId="5BD5061E" w14:textId="1251E5F3" w:rsidR="006A7039" w:rsidRPr="006A7039" w:rsidRDefault="006A7039" w:rsidP="006A7039">
            <w:pPr>
              <w:pStyle w:val="ListParagraph"/>
              <w:numPr>
                <w:ilvl w:val="0"/>
                <w:numId w:val="25"/>
              </w:numPr>
              <w:spacing w:before="120" w:after="120"/>
              <w:rPr>
                <w:rFonts w:ascii="Arial" w:hAnsi="Arial" w:cs="Arial"/>
                <w:sz w:val="20"/>
              </w:rPr>
            </w:pPr>
            <w:r w:rsidRPr="006A7039">
              <w:rPr>
                <w:rFonts w:ascii="Arial" w:hAnsi="Arial" w:cs="Arial"/>
                <w:sz w:val="20"/>
              </w:rPr>
              <w:t xml:space="preserve">Holding regular Advice &amp; Feedback (Office) hours. </w:t>
            </w:r>
          </w:p>
          <w:p w14:paraId="165893C7" w14:textId="7C4AD5A6" w:rsidR="006A7039" w:rsidRPr="006A7039" w:rsidRDefault="006A7039" w:rsidP="006A7039">
            <w:pPr>
              <w:pStyle w:val="ListParagraph"/>
              <w:numPr>
                <w:ilvl w:val="0"/>
                <w:numId w:val="25"/>
              </w:numPr>
              <w:spacing w:before="120" w:after="120"/>
              <w:rPr>
                <w:rFonts w:ascii="Arial" w:hAnsi="Arial" w:cs="Arial"/>
                <w:sz w:val="20"/>
              </w:rPr>
            </w:pPr>
            <w:r w:rsidRPr="006A7039">
              <w:rPr>
                <w:rFonts w:ascii="Arial" w:hAnsi="Arial" w:cs="Arial"/>
                <w:sz w:val="20"/>
              </w:rPr>
              <w:t xml:space="preserve">Acting as an academic advisor (mentor), including </w:t>
            </w:r>
            <w:proofErr w:type="gramStart"/>
            <w:r w:rsidRPr="006A7039">
              <w:rPr>
                <w:rFonts w:ascii="Arial" w:hAnsi="Arial" w:cs="Arial"/>
                <w:sz w:val="20"/>
              </w:rPr>
              <w:t>with regard to</w:t>
            </w:r>
            <w:proofErr w:type="gramEnd"/>
            <w:r w:rsidRPr="006A7039">
              <w:rPr>
                <w:rFonts w:ascii="Arial" w:hAnsi="Arial" w:cs="Arial"/>
                <w:sz w:val="20"/>
              </w:rPr>
              <w:t xml:space="preserve"> dissertation writing, and providing pastoral care. </w:t>
            </w:r>
          </w:p>
          <w:p w14:paraId="5F29FBD4" w14:textId="57EB6C8F" w:rsidR="006A7039" w:rsidRPr="006A7039" w:rsidRDefault="006A7039" w:rsidP="006A7039">
            <w:pPr>
              <w:pStyle w:val="ListParagraph"/>
              <w:numPr>
                <w:ilvl w:val="0"/>
                <w:numId w:val="25"/>
              </w:numPr>
              <w:spacing w:before="120" w:after="120"/>
              <w:rPr>
                <w:rFonts w:ascii="Arial" w:hAnsi="Arial" w:cs="Arial"/>
                <w:sz w:val="20"/>
              </w:rPr>
            </w:pPr>
            <w:r w:rsidRPr="006A7039">
              <w:rPr>
                <w:rFonts w:ascii="Arial" w:hAnsi="Arial" w:cs="Arial"/>
                <w:sz w:val="20"/>
              </w:rPr>
              <w:t xml:space="preserve">Organising and participating in activities to enhance the students’ development of their individual research projects (dissertations). </w:t>
            </w:r>
          </w:p>
          <w:p w14:paraId="68AED93E" w14:textId="799138F9" w:rsidR="006A7039" w:rsidRPr="006A7039" w:rsidRDefault="006A7039" w:rsidP="006A7039">
            <w:pPr>
              <w:pStyle w:val="ListParagraph"/>
              <w:numPr>
                <w:ilvl w:val="0"/>
                <w:numId w:val="25"/>
              </w:numPr>
              <w:spacing w:before="120" w:after="120"/>
              <w:rPr>
                <w:rFonts w:ascii="Arial" w:hAnsi="Arial" w:cs="Arial"/>
                <w:sz w:val="20"/>
              </w:rPr>
            </w:pPr>
            <w:r w:rsidRPr="006A7039">
              <w:rPr>
                <w:rFonts w:ascii="Arial" w:hAnsi="Arial" w:cs="Arial"/>
                <w:sz w:val="20"/>
              </w:rPr>
              <w:t xml:space="preserve">Developing a research programme and publication record - </w:t>
            </w:r>
            <w:proofErr w:type="gramStart"/>
            <w:r w:rsidRPr="006A7039">
              <w:rPr>
                <w:rFonts w:ascii="Arial" w:hAnsi="Arial" w:cs="Arial"/>
                <w:sz w:val="20"/>
              </w:rPr>
              <w:t>e.g.</w:t>
            </w:r>
            <w:proofErr w:type="gramEnd"/>
            <w:r w:rsidRPr="006A7039">
              <w:rPr>
                <w:rFonts w:ascii="Arial" w:hAnsi="Arial" w:cs="Arial"/>
                <w:sz w:val="20"/>
              </w:rPr>
              <w:t xml:space="preserve"> through publication(s) arising from the PhD or post-doctoral research</w:t>
            </w:r>
          </w:p>
          <w:p w14:paraId="36E10359" w14:textId="16D10893" w:rsidR="00F847C0" w:rsidRPr="00E14D9E" w:rsidRDefault="006A7039" w:rsidP="006A7039">
            <w:pPr>
              <w:pStyle w:val="ListParagraph"/>
              <w:numPr>
                <w:ilvl w:val="0"/>
                <w:numId w:val="25"/>
              </w:numPr>
              <w:spacing w:before="120" w:after="120"/>
              <w:rPr>
                <w:rFonts w:ascii="Arial" w:hAnsi="Arial" w:cs="Arial"/>
                <w:sz w:val="20"/>
              </w:rPr>
            </w:pPr>
            <w:r w:rsidRPr="006A7039">
              <w:rPr>
                <w:rFonts w:ascii="Arial" w:hAnsi="Arial" w:cs="Arial"/>
                <w:sz w:val="20"/>
              </w:rPr>
              <w:t xml:space="preserve">Participating in development opportunities both at a departmental and School level (e.g. </w:t>
            </w:r>
            <w:proofErr w:type="gramStart"/>
            <w:r w:rsidRPr="006A7039">
              <w:rPr>
                <w:rFonts w:ascii="Arial" w:hAnsi="Arial" w:cs="Arial"/>
                <w:sz w:val="20"/>
              </w:rPr>
              <w:t>workshops,  training</w:t>
            </w:r>
            <w:proofErr w:type="gramEnd"/>
            <w:r w:rsidRPr="006A7039">
              <w:rPr>
                <w:rFonts w:ascii="Arial" w:hAnsi="Arial" w:cs="Arial"/>
                <w:sz w:val="20"/>
              </w:rPr>
              <w:t>, talks).</w:t>
            </w:r>
          </w:p>
        </w:tc>
      </w:tr>
      <w:tr w:rsidR="00F847C0" w14:paraId="418E2E77" w14:textId="77777777" w:rsidTr="000E2509">
        <w:trPr>
          <w:trHeight w:val="991"/>
        </w:trPr>
        <w:tc>
          <w:tcPr>
            <w:tcW w:w="9578" w:type="dxa"/>
            <w:tcBorders>
              <w:top w:val="single" w:sz="48" w:space="0" w:color="C0C0C0"/>
              <w:left w:val="single" w:sz="48" w:space="0" w:color="C0C0C0"/>
              <w:bottom w:val="single" w:sz="48" w:space="0" w:color="C0C0C0"/>
              <w:right w:val="single" w:sz="48" w:space="0" w:color="C0C0C0"/>
            </w:tcBorders>
            <w:shd w:val="clear" w:color="auto" w:fill="FFFFFF"/>
          </w:tcPr>
          <w:p w14:paraId="4A6DEB16" w14:textId="77777777" w:rsidR="00F847C0" w:rsidRPr="009A5C91" w:rsidRDefault="00F847C0" w:rsidP="007D6652">
            <w:pPr>
              <w:rPr>
                <w:rFonts w:ascii="Arial" w:hAnsi="Arial" w:cs="Arial"/>
                <w:b/>
                <w:sz w:val="20"/>
                <w:lang w:eastAsia="en-GB"/>
              </w:rPr>
            </w:pPr>
            <w:r w:rsidRPr="009A5C91">
              <w:rPr>
                <w:rFonts w:ascii="Arial" w:hAnsi="Arial" w:cs="Arial"/>
                <w:b/>
                <w:sz w:val="20"/>
                <w:lang w:eastAsia="en-GB"/>
              </w:rPr>
              <w:t>Note</w:t>
            </w:r>
          </w:p>
          <w:p w14:paraId="75E08654" w14:textId="77777777" w:rsidR="00F847C0" w:rsidRDefault="00F847C0">
            <w:pPr>
              <w:rPr>
                <w:rFonts w:ascii="Arial" w:hAnsi="Arial"/>
                <w:b/>
                <w:bCs/>
                <w:sz w:val="20"/>
              </w:rPr>
            </w:pPr>
            <w:r w:rsidRPr="009A5C91">
              <w:rPr>
                <w:rFonts w:ascii="Arial" w:hAnsi="Arial" w:cs="Arial"/>
                <w:sz w:val="20"/>
                <w:lang w:eastAsia="en-GB"/>
              </w:rPr>
              <w:t>The LSE has a progressive pay structure that rewards you with annual pay increases up to a certain level as you develop in your role. We also provide for further reward past this point in the form of further pay increases based on exceptional performance.</w:t>
            </w:r>
          </w:p>
        </w:tc>
      </w:tr>
      <w:tr w:rsidR="00F847C0" w14:paraId="10501AC2" w14:textId="77777777" w:rsidTr="000E2509">
        <w:trPr>
          <w:trHeight w:val="880"/>
        </w:trPr>
        <w:tc>
          <w:tcPr>
            <w:tcW w:w="9578" w:type="dxa"/>
            <w:tcBorders>
              <w:top w:val="single" w:sz="48" w:space="0" w:color="C0C0C0"/>
              <w:left w:val="single" w:sz="48" w:space="0" w:color="C0C0C0"/>
              <w:bottom w:val="single" w:sz="48" w:space="0" w:color="C0C0C0"/>
              <w:right w:val="single" w:sz="48" w:space="0" w:color="C0C0C0"/>
            </w:tcBorders>
            <w:shd w:val="clear" w:color="auto" w:fill="FFFFFF"/>
          </w:tcPr>
          <w:p w14:paraId="06995F14" w14:textId="77777777" w:rsidR="00F847C0" w:rsidRDefault="00F847C0">
            <w:pPr>
              <w:rPr>
                <w:rFonts w:ascii="Arial" w:hAnsi="Arial"/>
                <w:b/>
                <w:bCs/>
                <w:sz w:val="20"/>
              </w:rPr>
            </w:pPr>
            <w:r>
              <w:rPr>
                <w:rFonts w:ascii="Arial" w:hAnsi="Arial"/>
                <w:b/>
                <w:bCs/>
                <w:sz w:val="20"/>
              </w:rPr>
              <w:lastRenderedPageBreak/>
              <w:t>Flexibility</w:t>
            </w:r>
          </w:p>
          <w:p w14:paraId="44E13F8F" w14:textId="77777777" w:rsidR="00F847C0" w:rsidRDefault="00F847C0">
            <w:pPr>
              <w:rPr>
                <w:rFonts w:ascii="Arial" w:hAnsi="Arial"/>
                <w:sz w:val="20"/>
              </w:rPr>
            </w:pPr>
            <w:r>
              <w:rPr>
                <w:rFonts w:ascii="Arial" w:hAnsi="Arial"/>
                <w:sz w:val="20"/>
              </w:rPr>
              <w:t>To deliver services effectively, a degree of flexibility is needed, and the post holder may be required to perform work not specifically referred to above.</w:t>
            </w:r>
          </w:p>
        </w:tc>
      </w:tr>
      <w:tr w:rsidR="00F847C0" w14:paraId="43DED63A" w14:textId="77777777" w:rsidTr="000E2509">
        <w:trPr>
          <w:trHeight w:val="587"/>
        </w:trPr>
        <w:tc>
          <w:tcPr>
            <w:tcW w:w="9578" w:type="dxa"/>
            <w:tcBorders>
              <w:top w:val="single" w:sz="48" w:space="0" w:color="C0C0C0"/>
              <w:left w:val="single" w:sz="48" w:space="0" w:color="C0C0C0"/>
              <w:bottom w:val="single" w:sz="48" w:space="0" w:color="C0C0C0"/>
              <w:right w:val="single" w:sz="48" w:space="0" w:color="C0C0C0"/>
            </w:tcBorders>
            <w:shd w:val="clear" w:color="auto" w:fill="FFFFFF"/>
          </w:tcPr>
          <w:p w14:paraId="6C1F34BA" w14:textId="77777777" w:rsidR="00F847C0" w:rsidRDefault="00F847C0" w:rsidP="00C33E92">
            <w:pPr>
              <w:autoSpaceDE w:val="0"/>
              <w:autoSpaceDN w:val="0"/>
              <w:adjustRightInd w:val="0"/>
              <w:rPr>
                <w:rFonts w:ascii="Arial" w:hAnsi="Arial" w:cs="Arial"/>
                <w:b/>
                <w:bCs/>
                <w:color w:val="000000"/>
                <w:sz w:val="20"/>
                <w:lang w:eastAsia="en-GB"/>
              </w:rPr>
            </w:pPr>
            <w:r>
              <w:rPr>
                <w:rFonts w:ascii="Arial" w:hAnsi="Arial" w:cs="Arial"/>
                <w:b/>
                <w:bCs/>
                <w:color w:val="000000"/>
                <w:sz w:val="20"/>
                <w:lang w:eastAsia="en-GB"/>
              </w:rPr>
              <w:t>Equality and Diversity</w:t>
            </w:r>
          </w:p>
          <w:p w14:paraId="0436C2E1" w14:textId="77777777" w:rsidR="00F847C0" w:rsidRPr="004355C1" w:rsidRDefault="0094253D" w:rsidP="00C54326">
            <w:pPr>
              <w:autoSpaceDE w:val="0"/>
              <w:autoSpaceDN w:val="0"/>
              <w:adjustRightInd w:val="0"/>
              <w:rPr>
                <w:rFonts w:ascii="Arial" w:hAnsi="Arial" w:cs="Arial"/>
                <w:b/>
                <w:bCs/>
                <w:color w:val="000000"/>
                <w:sz w:val="20"/>
                <w:lang w:eastAsia="en-GB"/>
              </w:rPr>
            </w:pPr>
            <w:r w:rsidRPr="0094253D">
              <w:rPr>
                <w:rFonts w:ascii="Arial" w:hAnsi="Arial"/>
                <w:sz w:val="20"/>
              </w:rPr>
              <w:t xml:space="preserve">To uphold the School’s commitment to equality of respect and opportunity, as set out in the </w:t>
            </w:r>
            <w:hyperlink r:id="rId7" w:history="1">
              <w:r w:rsidRPr="002F59A8">
                <w:rPr>
                  <w:rStyle w:val="Hyperlink"/>
                  <w:rFonts w:ascii="Arial" w:hAnsi="Arial"/>
                  <w:sz w:val="20"/>
                </w:rPr>
                <w:t>Ethics Code</w:t>
              </w:r>
            </w:hyperlink>
            <w:r w:rsidRPr="0094253D">
              <w:rPr>
                <w:rFonts w:ascii="Arial" w:hAnsi="Arial"/>
                <w:sz w:val="20"/>
              </w:rPr>
              <w:t xml:space="preserve">, we will treat all people with dignity and respect, and ensure that no one will be treated less favourably because of their role at the School, age, sex, disability, gender identity, race, religion or belief, sexual orientation, marriage and civil partnership, pregnancy and maternity, or social and economic background. For the full Equity, Diversity and Inclusion policy statement, please see the </w:t>
            </w:r>
            <w:hyperlink r:id="rId8" w:history="1">
              <w:r w:rsidRPr="00E42888">
                <w:rPr>
                  <w:rStyle w:val="Hyperlink"/>
                  <w:rFonts w:ascii="Arial" w:hAnsi="Arial"/>
                  <w:sz w:val="20"/>
                </w:rPr>
                <w:t>EDI website</w:t>
              </w:r>
            </w:hyperlink>
            <w:r w:rsidR="000E2509">
              <w:rPr>
                <w:rStyle w:val="Hyperlink"/>
                <w:rFonts w:ascii="Arial" w:hAnsi="Arial"/>
                <w:sz w:val="20"/>
              </w:rPr>
              <w:t>.</w:t>
            </w:r>
          </w:p>
        </w:tc>
      </w:tr>
      <w:tr w:rsidR="00F847C0" w14:paraId="3951051F" w14:textId="77777777" w:rsidTr="000E2509">
        <w:trPr>
          <w:trHeight w:val="880"/>
        </w:trPr>
        <w:tc>
          <w:tcPr>
            <w:tcW w:w="9578" w:type="dxa"/>
            <w:tcBorders>
              <w:top w:val="single" w:sz="48" w:space="0" w:color="C0C0C0"/>
              <w:left w:val="single" w:sz="48" w:space="0" w:color="C0C0C0"/>
              <w:bottom w:val="single" w:sz="48" w:space="0" w:color="C0C0C0"/>
              <w:right w:val="single" w:sz="48" w:space="0" w:color="C0C0C0"/>
            </w:tcBorders>
            <w:shd w:val="clear" w:color="auto" w:fill="FFFFFF"/>
          </w:tcPr>
          <w:p w14:paraId="56CD5A84" w14:textId="77777777" w:rsidR="00F847C0" w:rsidRPr="00C33E92" w:rsidRDefault="00F847C0" w:rsidP="00C33E92">
            <w:pPr>
              <w:autoSpaceDE w:val="0"/>
              <w:autoSpaceDN w:val="0"/>
              <w:adjustRightInd w:val="0"/>
              <w:rPr>
                <w:rFonts w:ascii="Arial" w:hAnsi="Arial" w:cs="Arial"/>
                <w:color w:val="000000"/>
                <w:sz w:val="20"/>
                <w:lang w:eastAsia="en-GB"/>
              </w:rPr>
            </w:pPr>
            <w:r w:rsidRPr="00C33E92">
              <w:rPr>
                <w:rFonts w:ascii="Arial" w:hAnsi="Arial" w:cs="Arial"/>
                <w:b/>
                <w:bCs/>
                <w:color w:val="000000"/>
                <w:sz w:val="20"/>
                <w:lang w:eastAsia="en-GB"/>
              </w:rPr>
              <w:t>Environmental Sustainability</w:t>
            </w:r>
          </w:p>
          <w:p w14:paraId="1F1665ED" w14:textId="77777777" w:rsidR="00F847C0" w:rsidRPr="00C33E92" w:rsidRDefault="00F847C0" w:rsidP="00C33E92">
            <w:pPr>
              <w:rPr>
                <w:rFonts w:ascii="Arial" w:hAnsi="Arial"/>
                <w:b/>
                <w:bCs/>
                <w:sz w:val="20"/>
              </w:rPr>
            </w:pPr>
            <w:r w:rsidRPr="00C33E92">
              <w:rPr>
                <w:rFonts w:ascii="Arial" w:hAnsi="Arial" w:cs="Arial"/>
                <w:color w:val="000000"/>
                <w:sz w:val="20"/>
                <w:lang w:eastAsia="en-GB"/>
              </w:rPr>
              <w:t>The post holder is required to minimise environmental impact in the performance of the role, and actively contribute to the delivery of the LSE Environmental Policy</w:t>
            </w:r>
            <w:r>
              <w:rPr>
                <w:rFonts w:ascii="Arial" w:hAnsi="Arial" w:cs="Arial"/>
                <w:color w:val="000000"/>
                <w:sz w:val="20"/>
                <w:lang w:eastAsia="en-GB"/>
              </w:rPr>
              <w:t>.</w:t>
            </w:r>
          </w:p>
        </w:tc>
      </w:tr>
    </w:tbl>
    <w:p w14:paraId="743E4FCC" w14:textId="77777777" w:rsidR="006A63D8" w:rsidRPr="000A3981" w:rsidRDefault="006A63D8">
      <w:pPr>
        <w:rPr>
          <w:rFonts w:ascii="Arial" w:hAnsi="Arial"/>
        </w:rPr>
      </w:pPr>
    </w:p>
    <w:sectPr w:rsidR="006A63D8" w:rsidRPr="000A3981" w:rsidSect="008F7D1E">
      <w:headerReference w:type="default" r:id="rId9"/>
      <w:pgSz w:w="11906" w:h="16838" w:code="9"/>
      <w:pgMar w:top="3119" w:right="1134" w:bottom="1134" w:left="1134" w:header="170" w:footer="17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74DBA" w14:textId="77777777" w:rsidR="001F7F09" w:rsidRDefault="001F7F09">
      <w:r>
        <w:separator/>
      </w:r>
    </w:p>
  </w:endnote>
  <w:endnote w:type="continuationSeparator" w:id="0">
    <w:p w14:paraId="6A03770A" w14:textId="77777777" w:rsidR="001F7F09" w:rsidRDefault="001F7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th1">
    <w:altName w:val="Symbol"/>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9C420" w14:textId="77777777" w:rsidR="001F7F09" w:rsidRDefault="001F7F09">
      <w:r>
        <w:separator/>
      </w:r>
    </w:p>
  </w:footnote>
  <w:footnote w:type="continuationSeparator" w:id="0">
    <w:p w14:paraId="57861666" w14:textId="77777777" w:rsidR="001F7F09" w:rsidRDefault="001F7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17943" w14:textId="77777777" w:rsidR="00894E0B" w:rsidRDefault="00894E0B" w:rsidP="00E2780B">
    <w:pPr>
      <w:pStyle w:val="Header"/>
      <w:tabs>
        <w:tab w:val="clear" w:pos="4320"/>
        <w:tab w:val="clear" w:pos="8640"/>
        <w:tab w:val="left" w:pos="4336"/>
      </w:tabs>
    </w:pPr>
    <w:r>
      <w:tab/>
    </w:r>
    <w:r w:rsidR="006A63D8">
      <w:rPr>
        <w:noProof/>
        <w:lang w:eastAsia="en-GB"/>
      </w:rPr>
      <w:drawing>
        <wp:anchor distT="0" distB="0" distL="114300" distR="114300" simplePos="0" relativeHeight="251657728" behindDoc="1" locked="0" layoutInCell="1" allowOverlap="1" wp14:anchorId="33D94360" wp14:editId="30FA9943">
          <wp:simplePos x="0" y="0"/>
          <wp:positionH relativeFrom="column">
            <wp:posOffset>-720090</wp:posOffset>
          </wp:positionH>
          <wp:positionV relativeFrom="paragraph">
            <wp:posOffset>-107950</wp:posOffset>
          </wp:positionV>
          <wp:extent cx="7556500" cy="1808480"/>
          <wp:effectExtent l="0" t="0" r="6350" b="1270"/>
          <wp:wrapNone/>
          <wp:docPr id="1" name="Picture 1" descr="BG JD + 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 JD + 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808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605C"/>
    <w:multiLevelType w:val="hybridMultilevel"/>
    <w:tmpl w:val="D162516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402E3"/>
    <w:multiLevelType w:val="hybridMultilevel"/>
    <w:tmpl w:val="E76CC3B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8C43B7E"/>
    <w:multiLevelType w:val="hybridMultilevel"/>
    <w:tmpl w:val="C074A226"/>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516CF9"/>
    <w:multiLevelType w:val="multilevel"/>
    <w:tmpl w:val="D6A646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D35D99"/>
    <w:multiLevelType w:val="hybridMultilevel"/>
    <w:tmpl w:val="86F8503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4E75C76"/>
    <w:multiLevelType w:val="hybridMultilevel"/>
    <w:tmpl w:val="89A4FEB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6461206"/>
    <w:multiLevelType w:val="hybridMultilevel"/>
    <w:tmpl w:val="CD420606"/>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5D40B3"/>
    <w:multiLevelType w:val="singleLevel"/>
    <w:tmpl w:val="83DE826E"/>
    <w:lvl w:ilvl="0">
      <w:start w:val="1"/>
      <w:numFmt w:val="decimal"/>
      <w:lvlText w:val="%1."/>
      <w:lvlJc w:val="left"/>
      <w:pPr>
        <w:tabs>
          <w:tab w:val="num" w:pos="720"/>
        </w:tabs>
        <w:ind w:left="720" w:hanging="720"/>
      </w:pPr>
      <w:rPr>
        <w:rFonts w:hint="default"/>
      </w:rPr>
    </w:lvl>
  </w:abstractNum>
  <w:abstractNum w:abstractNumId="8" w15:restartNumberingAfterBreak="0">
    <w:nsid w:val="2BDD031B"/>
    <w:multiLevelType w:val="multilevel"/>
    <w:tmpl w:val="B432985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651A79"/>
    <w:multiLevelType w:val="hybridMultilevel"/>
    <w:tmpl w:val="47202E8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AC26A6C"/>
    <w:multiLevelType w:val="hybridMultilevel"/>
    <w:tmpl w:val="02FA885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1472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1C025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05481D"/>
    <w:multiLevelType w:val="hybridMultilevel"/>
    <w:tmpl w:val="FCFC09E2"/>
    <w:lvl w:ilvl="0" w:tplc="26DACA7E">
      <w:numFmt w:val="bullet"/>
      <w:lvlText w:val="-"/>
      <w:lvlJc w:val="left"/>
      <w:pPr>
        <w:tabs>
          <w:tab w:val="num" w:pos="1440"/>
        </w:tabs>
        <w:ind w:left="1440" w:hanging="360"/>
      </w:pPr>
      <w:rPr>
        <w:rFonts w:ascii="Arial" w:eastAsia="Times New Roman" w:hAnsi="Arial" w:cs="Aria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B525138"/>
    <w:multiLevelType w:val="hybridMultilevel"/>
    <w:tmpl w:val="8872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D3EFB"/>
    <w:multiLevelType w:val="hybridMultilevel"/>
    <w:tmpl w:val="DF3C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104F03"/>
    <w:multiLevelType w:val="hybridMultilevel"/>
    <w:tmpl w:val="F26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F20CB6"/>
    <w:multiLevelType w:val="hybridMultilevel"/>
    <w:tmpl w:val="8BDC17BE"/>
    <w:lvl w:ilvl="0" w:tplc="7C1A8096">
      <w:numFmt w:val="bullet"/>
      <w:lvlText w:val="-"/>
      <w:lvlJc w:val="left"/>
      <w:pPr>
        <w:tabs>
          <w:tab w:val="num" w:pos="1620"/>
        </w:tabs>
        <w:ind w:left="1620" w:hanging="360"/>
      </w:pPr>
      <w:rPr>
        <w:rFonts w:ascii="Arial" w:eastAsia="Times New Roman" w:hAnsi="Arial" w:cs="Aria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18" w15:restartNumberingAfterBreak="0">
    <w:nsid w:val="67B714F9"/>
    <w:multiLevelType w:val="hybridMultilevel"/>
    <w:tmpl w:val="8154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8017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CDA3EB9"/>
    <w:multiLevelType w:val="hybridMultilevel"/>
    <w:tmpl w:val="E6A04B6A"/>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F5A289B"/>
    <w:multiLevelType w:val="hybridMultilevel"/>
    <w:tmpl w:val="E4E6C8C6"/>
    <w:lvl w:ilvl="0" w:tplc="04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3A0620"/>
    <w:multiLevelType w:val="hybridMultilevel"/>
    <w:tmpl w:val="6434B2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761A80"/>
    <w:multiLevelType w:val="singleLevel"/>
    <w:tmpl w:val="AA1EC548"/>
    <w:lvl w:ilvl="0">
      <w:start w:val="7"/>
      <w:numFmt w:val="bullet"/>
      <w:lvlText w:val=""/>
      <w:lvlJc w:val="left"/>
      <w:pPr>
        <w:tabs>
          <w:tab w:val="num" w:pos="720"/>
        </w:tabs>
        <w:ind w:left="720" w:hanging="720"/>
      </w:pPr>
      <w:rPr>
        <w:rFonts w:ascii="Math1" w:hAnsi="Math1" w:hint="default"/>
        <w:sz w:val="20"/>
      </w:rPr>
    </w:lvl>
  </w:abstractNum>
  <w:abstractNum w:abstractNumId="24" w15:restartNumberingAfterBreak="0">
    <w:nsid w:val="782C0DF0"/>
    <w:multiLevelType w:val="hybridMultilevel"/>
    <w:tmpl w:val="738A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5480231">
    <w:abstractNumId w:val="23"/>
  </w:num>
  <w:num w:numId="2" w16cid:durableId="1139422983">
    <w:abstractNumId w:val="7"/>
  </w:num>
  <w:num w:numId="3" w16cid:durableId="1128087668">
    <w:abstractNumId w:val="8"/>
  </w:num>
  <w:num w:numId="4" w16cid:durableId="1552418887">
    <w:abstractNumId w:val="3"/>
  </w:num>
  <w:num w:numId="5" w16cid:durableId="1213035737">
    <w:abstractNumId w:val="12"/>
  </w:num>
  <w:num w:numId="6" w16cid:durableId="130708921">
    <w:abstractNumId w:val="11"/>
  </w:num>
  <w:num w:numId="7" w16cid:durableId="1681538893">
    <w:abstractNumId w:val="19"/>
  </w:num>
  <w:num w:numId="8" w16cid:durableId="1019696204">
    <w:abstractNumId w:val="6"/>
  </w:num>
  <w:num w:numId="9" w16cid:durableId="1249462384">
    <w:abstractNumId w:val="22"/>
  </w:num>
  <w:num w:numId="10" w16cid:durableId="1286231570">
    <w:abstractNumId w:val="18"/>
  </w:num>
  <w:num w:numId="11" w16cid:durableId="299313327">
    <w:abstractNumId w:val="16"/>
  </w:num>
  <w:num w:numId="12" w16cid:durableId="988092596">
    <w:abstractNumId w:val="0"/>
  </w:num>
  <w:num w:numId="13" w16cid:durableId="1644045090">
    <w:abstractNumId w:val="20"/>
  </w:num>
  <w:num w:numId="14" w16cid:durableId="2143961814">
    <w:abstractNumId w:val="13"/>
  </w:num>
  <w:num w:numId="15" w16cid:durableId="815299682">
    <w:abstractNumId w:val="4"/>
  </w:num>
  <w:num w:numId="16" w16cid:durableId="1943953364">
    <w:abstractNumId w:val="9"/>
  </w:num>
  <w:num w:numId="17" w16cid:durableId="1767338821">
    <w:abstractNumId w:val="1"/>
  </w:num>
  <w:num w:numId="18" w16cid:durableId="1294794857">
    <w:abstractNumId w:val="17"/>
  </w:num>
  <w:num w:numId="19" w16cid:durableId="364912734">
    <w:abstractNumId w:val="10"/>
  </w:num>
  <w:num w:numId="20" w16cid:durableId="2112312818">
    <w:abstractNumId w:val="21"/>
  </w:num>
  <w:num w:numId="21" w16cid:durableId="1910844194">
    <w:abstractNumId w:val="5"/>
  </w:num>
  <w:num w:numId="22" w16cid:durableId="984503135">
    <w:abstractNumId w:val="2"/>
  </w:num>
  <w:num w:numId="23" w16cid:durableId="2025280688">
    <w:abstractNumId w:val="24"/>
  </w:num>
  <w:num w:numId="24" w16cid:durableId="596913190">
    <w:abstractNumId w:val="15"/>
  </w:num>
  <w:num w:numId="25" w16cid:durableId="6474450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9C"/>
    <w:rsid w:val="000869ED"/>
    <w:rsid w:val="000A3981"/>
    <w:rsid w:val="000C7941"/>
    <w:rsid w:val="000E2509"/>
    <w:rsid w:val="00174A26"/>
    <w:rsid w:val="00190C3E"/>
    <w:rsid w:val="001F7F09"/>
    <w:rsid w:val="002315A4"/>
    <w:rsid w:val="0029499D"/>
    <w:rsid w:val="002A72B5"/>
    <w:rsid w:val="002C4056"/>
    <w:rsid w:val="002F59A8"/>
    <w:rsid w:val="00320474"/>
    <w:rsid w:val="00330FFF"/>
    <w:rsid w:val="00336E5D"/>
    <w:rsid w:val="00422454"/>
    <w:rsid w:val="004355C1"/>
    <w:rsid w:val="00446004"/>
    <w:rsid w:val="004631CC"/>
    <w:rsid w:val="00471FFF"/>
    <w:rsid w:val="00476367"/>
    <w:rsid w:val="00482FCB"/>
    <w:rsid w:val="004D2D64"/>
    <w:rsid w:val="00564DD1"/>
    <w:rsid w:val="00582094"/>
    <w:rsid w:val="005A7845"/>
    <w:rsid w:val="006024ED"/>
    <w:rsid w:val="006358F3"/>
    <w:rsid w:val="006831EB"/>
    <w:rsid w:val="006A4521"/>
    <w:rsid w:val="006A63D8"/>
    <w:rsid w:val="006A7039"/>
    <w:rsid w:val="006B0712"/>
    <w:rsid w:val="00731723"/>
    <w:rsid w:val="00784A61"/>
    <w:rsid w:val="007C42D4"/>
    <w:rsid w:val="007D6652"/>
    <w:rsid w:val="007F1935"/>
    <w:rsid w:val="00880969"/>
    <w:rsid w:val="00894E0B"/>
    <w:rsid w:val="008F7D1E"/>
    <w:rsid w:val="00914248"/>
    <w:rsid w:val="0094253D"/>
    <w:rsid w:val="009A5C91"/>
    <w:rsid w:val="00A770C6"/>
    <w:rsid w:val="00AA21FE"/>
    <w:rsid w:val="00AC1C1B"/>
    <w:rsid w:val="00B50920"/>
    <w:rsid w:val="00B67530"/>
    <w:rsid w:val="00BB709F"/>
    <w:rsid w:val="00BF5CD9"/>
    <w:rsid w:val="00C33E92"/>
    <w:rsid w:val="00C45C2D"/>
    <w:rsid w:val="00C54326"/>
    <w:rsid w:val="00C73C2A"/>
    <w:rsid w:val="00C910C2"/>
    <w:rsid w:val="00CA093D"/>
    <w:rsid w:val="00CA2B9C"/>
    <w:rsid w:val="00CA2CFD"/>
    <w:rsid w:val="00CD3A09"/>
    <w:rsid w:val="00CF223E"/>
    <w:rsid w:val="00D40F43"/>
    <w:rsid w:val="00D44C0A"/>
    <w:rsid w:val="00D66F7B"/>
    <w:rsid w:val="00D73E8F"/>
    <w:rsid w:val="00D97EA8"/>
    <w:rsid w:val="00DD3C9C"/>
    <w:rsid w:val="00DD59BB"/>
    <w:rsid w:val="00DF500B"/>
    <w:rsid w:val="00E0004B"/>
    <w:rsid w:val="00E14D9E"/>
    <w:rsid w:val="00E2780B"/>
    <w:rsid w:val="00E42888"/>
    <w:rsid w:val="00E5683F"/>
    <w:rsid w:val="00EE01E2"/>
    <w:rsid w:val="00F847C0"/>
    <w:rsid w:val="00FC6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C4A806D"/>
  <w15:chartTrackingRefBased/>
  <w15:docId w15:val="{530D10B2-A222-42B4-A2F5-8C4EEEC4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lang w:eastAsia="en-US"/>
    </w:rPr>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sz w:val="20"/>
    </w:rPr>
  </w:style>
  <w:style w:type="paragraph" w:styleId="Heading3">
    <w:name w:val="heading 3"/>
    <w:basedOn w:val="Normal"/>
    <w:next w:val="Normal"/>
    <w:qFormat/>
    <w:pPr>
      <w:keepNext/>
      <w:outlineLvl w:val="2"/>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C9C"/>
    <w:pPr>
      <w:tabs>
        <w:tab w:val="center" w:pos="4320"/>
        <w:tab w:val="right" w:pos="8640"/>
      </w:tabs>
    </w:pPr>
  </w:style>
  <w:style w:type="paragraph" w:styleId="Footer">
    <w:name w:val="footer"/>
    <w:basedOn w:val="Normal"/>
    <w:semiHidden/>
    <w:rsid w:val="00DD3C9C"/>
    <w:pPr>
      <w:tabs>
        <w:tab w:val="center" w:pos="4320"/>
        <w:tab w:val="right" w:pos="8640"/>
      </w:tabs>
    </w:pPr>
  </w:style>
  <w:style w:type="paragraph" w:styleId="ListParagraph">
    <w:name w:val="List Paragraph"/>
    <w:basedOn w:val="Normal"/>
    <w:uiPriority w:val="34"/>
    <w:qFormat/>
    <w:rsid w:val="00482FCB"/>
    <w:pPr>
      <w:ind w:left="720"/>
      <w:contextualSpacing/>
    </w:pPr>
  </w:style>
  <w:style w:type="paragraph" w:styleId="BodyText">
    <w:name w:val="Body Text"/>
    <w:basedOn w:val="Normal"/>
    <w:rsid w:val="00D73E8F"/>
    <w:rPr>
      <w:rFonts w:ascii="Arial" w:hAnsi="Arial" w:cs="Arial"/>
      <w:sz w:val="20"/>
    </w:rPr>
  </w:style>
  <w:style w:type="paragraph" w:styleId="BodyText2">
    <w:name w:val="Body Text 2"/>
    <w:basedOn w:val="Normal"/>
    <w:rsid w:val="00D73E8F"/>
    <w:pPr>
      <w:ind w:left="360"/>
    </w:pPr>
    <w:rPr>
      <w:rFonts w:ascii="Arial" w:hAnsi="Arial" w:cs="Arial"/>
      <w:sz w:val="20"/>
    </w:rPr>
  </w:style>
  <w:style w:type="character" w:styleId="Emphasis">
    <w:name w:val="Emphasis"/>
    <w:uiPriority w:val="20"/>
    <w:qFormat/>
    <w:rsid w:val="004355C1"/>
    <w:rPr>
      <w:i/>
      <w:iCs/>
    </w:rPr>
  </w:style>
  <w:style w:type="character" w:styleId="Hyperlink">
    <w:name w:val="Hyperlink"/>
    <w:rsid w:val="00C73C2A"/>
    <w:rPr>
      <w:color w:val="0000FF"/>
      <w:u w:val="single"/>
    </w:rPr>
  </w:style>
  <w:style w:type="character" w:styleId="FollowedHyperlink">
    <w:name w:val="FollowedHyperlink"/>
    <w:rsid w:val="002F59A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599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se.ac.uk/intranet/LSEServices/equityDiversityInclusion/ediPolicyStatement.aspx" TargetMode="External"/><Relationship Id="rId3" Type="http://schemas.openxmlformats.org/officeDocument/2006/relationships/settings" Target="settings.xml"/><Relationship Id="rId7" Type="http://schemas.openxmlformats.org/officeDocument/2006/relationships/hyperlink" Target="http://www.lse.ac.uk/intranet/LSEServices/policies/pdfs/school/ethCo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London School of Economics and Political Science</Company>
  <LinksUpToDate>false</LinksUpToDate>
  <CharactersWithSpaces>3391</CharactersWithSpaces>
  <SharedDoc>false</SharedDoc>
  <HLinks>
    <vt:vector size="12" baseType="variant">
      <vt:variant>
        <vt:i4>2490481</vt:i4>
      </vt:variant>
      <vt:variant>
        <vt:i4>3</vt:i4>
      </vt:variant>
      <vt:variant>
        <vt:i4>0</vt:i4>
      </vt:variant>
      <vt:variant>
        <vt:i4>5</vt:i4>
      </vt:variant>
      <vt:variant>
        <vt:lpwstr>http://www.lse.ac.uk/intranet/LSEServices/equityDiversityInclusion/ediPolicyStatement.aspx</vt:lpwstr>
      </vt:variant>
      <vt:variant>
        <vt:lpwstr/>
      </vt:variant>
      <vt:variant>
        <vt:i4>786498</vt:i4>
      </vt:variant>
      <vt:variant>
        <vt:i4>0</vt:i4>
      </vt:variant>
      <vt:variant>
        <vt:i4>0</vt:i4>
      </vt:variant>
      <vt:variant>
        <vt:i4>5</vt:i4>
      </vt:variant>
      <vt:variant>
        <vt:lpwstr>http://www.lse.ac.uk/intranet/LSEServices/policies/pdfs/school/ethCod.pdf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LSE</dc:creator>
  <cp:keywords/>
  <cp:lastModifiedBy>Hardcastle,LE</cp:lastModifiedBy>
  <cp:revision>2</cp:revision>
  <cp:lastPrinted>2001-06-29T09:25:00Z</cp:lastPrinted>
  <dcterms:created xsi:type="dcterms:W3CDTF">2023-03-07T10:50:00Z</dcterms:created>
  <dcterms:modified xsi:type="dcterms:W3CDTF">2023-03-07T10:50:00Z</dcterms:modified>
</cp:coreProperties>
</file>