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59AEF" w14:textId="116BA5E4" w:rsidR="00634AFE" w:rsidRDefault="00634AFE" w:rsidP="00634AFE">
      <w:pPr>
        <w:rPr>
          <w:rFonts w:ascii="Century Gothic" w:hAnsi="Century Gothic"/>
          <w:b/>
          <w:sz w:val="28"/>
          <w:szCs w:val="28"/>
        </w:rPr>
      </w:pPr>
    </w:p>
    <w:p w14:paraId="79C2D6AB" w14:textId="7F21352B" w:rsidR="004F3A28" w:rsidRDefault="004F3A28" w:rsidP="004F3A28">
      <w:pPr>
        <w:jc w:val="center"/>
        <w:rPr>
          <w:rFonts w:ascii="Verdana" w:hAnsi="Verdana" w:cs="Arial"/>
          <w:b/>
        </w:rPr>
      </w:pPr>
      <w:r w:rsidRPr="004F3A28">
        <w:rPr>
          <w:rFonts w:ascii="Verdana" w:hAnsi="Verdana" w:cs="Arial"/>
          <w:b/>
        </w:rPr>
        <w:t>Risk Identification Form for Complex Travel</w:t>
      </w:r>
    </w:p>
    <w:p w14:paraId="3801BBF7" w14:textId="3594CA9F" w:rsidR="004F3A28" w:rsidRDefault="004F3A28" w:rsidP="004F3A28">
      <w:pPr>
        <w:spacing w:before="60" w:after="60"/>
        <w:jc w:val="center"/>
        <w:rPr>
          <w:rFonts w:ascii="Verdana" w:hAnsi="Verdana" w:cs="Arial"/>
          <w:b/>
        </w:rPr>
      </w:pPr>
    </w:p>
    <w:p w14:paraId="6E78E1FE" w14:textId="15AC3F4E" w:rsidR="004F3A28" w:rsidRDefault="004F3A28" w:rsidP="004F3A28">
      <w:pPr>
        <w:pStyle w:val="ListParagraph"/>
        <w:numPr>
          <w:ilvl w:val="0"/>
          <w:numId w:val="30"/>
        </w:numPr>
        <w:spacing w:before="60" w:after="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This form </w:t>
      </w:r>
      <w:r w:rsidR="00823DAD">
        <w:rPr>
          <w:rFonts w:ascii="Verdana" w:hAnsi="Verdana" w:cs="Arial"/>
          <w:sz w:val="20"/>
          <w:szCs w:val="20"/>
        </w:rPr>
        <w:t>should</w:t>
      </w:r>
      <w:r>
        <w:rPr>
          <w:rFonts w:ascii="Verdana" w:hAnsi="Verdana" w:cs="Arial"/>
          <w:sz w:val="20"/>
          <w:szCs w:val="20"/>
        </w:rPr>
        <w:t xml:space="preserve"> be appended to your </w:t>
      </w:r>
      <w:r w:rsidRPr="004F3A28">
        <w:rPr>
          <w:rFonts w:ascii="Verdana" w:hAnsi="Verdana" w:cs="Arial"/>
          <w:color w:val="0066FF"/>
          <w:sz w:val="20"/>
          <w:szCs w:val="20"/>
          <w:u w:val="single"/>
        </w:rPr>
        <w:t>Notification to Travel Form</w:t>
      </w:r>
      <w:r>
        <w:rPr>
          <w:rFonts w:ascii="Verdana" w:hAnsi="Verdana" w:cs="Arial"/>
          <w:sz w:val="20"/>
          <w:szCs w:val="20"/>
        </w:rPr>
        <w:t xml:space="preserve"> and submitted to </w:t>
      </w:r>
      <w:hyperlink r:id="rId8" w:history="1">
        <w:r w:rsidRPr="00D533A9">
          <w:rPr>
            <w:rStyle w:val="Hyperlink"/>
            <w:rFonts w:ascii="Verdana" w:hAnsi="Verdana" w:cs="Arial"/>
            <w:sz w:val="20"/>
            <w:szCs w:val="20"/>
          </w:rPr>
          <w:t>Health.And.Safety@lse.ac.uk</w:t>
        </w:r>
      </w:hyperlink>
      <w:r>
        <w:rPr>
          <w:rFonts w:ascii="Verdana" w:hAnsi="Verdana" w:cs="Arial"/>
          <w:sz w:val="20"/>
          <w:szCs w:val="20"/>
        </w:rPr>
        <w:t xml:space="preserve"> as early as possible</w:t>
      </w:r>
      <w:bookmarkStart w:id="0" w:name="_GoBack"/>
      <w:bookmarkEnd w:id="0"/>
    </w:p>
    <w:p w14:paraId="69762880" w14:textId="0BA83122" w:rsidR="004F3A28" w:rsidRDefault="004F3A28" w:rsidP="004F3A28">
      <w:pPr>
        <w:pStyle w:val="ListParagraph"/>
        <w:numPr>
          <w:ilvl w:val="0"/>
          <w:numId w:val="30"/>
        </w:numPr>
        <w:spacing w:before="60" w:after="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Taking into account your proposed travel, you </w:t>
      </w:r>
      <w:r w:rsidR="00823DAD">
        <w:rPr>
          <w:rFonts w:ascii="Verdana" w:hAnsi="Verdana" w:cs="Arial"/>
          <w:sz w:val="20"/>
          <w:szCs w:val="20"/>
        </w:rPr>
        <w:t>should</w:t>
      </w:r>
      <w:r>
        <w:rPr>
          <w:rFonts w:ascii="Verdana" w:hAnsi="Verdana" w:cs="Arial"/>
          <w:sz w:val="20"/>
          <w:szCs w:val="20"/>
        </w:rPr>
        <w:t xml:space="preserve"> give a rating to each of the 7 ‘risk factors’ using the descriptors given</w:t>
      </w:r>
      <w:r w:rsidR="00823DAD">
        <w:rPr>
          <w:rFonts w:ascii="Verdana" w:hAnsi="Verdana" w:cs="Arial"/>
          <w:sz w:val="20"/>
          <w:szCs w:val="20"/>
        </w:rPr>
        <w:t xml:space="preserve"> and state the reasons for your rating</w:t>
      </w:r>
      <w:r>
        <w:rPr>
          <w:rFonts w:ascii="Verdana" w:hAnsi="Verdana" w:cs="Arial"/>
          <w:sz w:val="20"/>
          <w:szCs w:val="20"/>
        </w:rPr>
        <w:t>.</w:t>
      </w:r>
    </w:p>
    <w:p w14:paraId="5A7884C3" w14:textId="77777777" w:rsidR="004F3A28" w:rsidRPr="004F3A28" w:rsidRDefault="004F3A28" w:rsidP="004F3A28">
      <w:pPr>
        <w:pStyle w:val="ListParagrap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22130" w:type="dxa"/>
        <w:tblInd w:w="-5" w:type="dxa"/>
        <w:tblLook w:val="04A0" w:firstRow="1" w:lastRow="0" w:firstColumn="1" w:lastColumn="0" w:noHBand="0" w:noVBand="1"/>
      </w:tblPr>
      <w:tblGrid>
        <w:gridCol w:w="2222"/>
        <w:gridCol w:w="2663"/>
        <w:gridCol w:w="2663"/>
        <w:gridCol w:w="2663"/>
        <w:gridCol w:w="2663"/>
        <w:gridCol w:w="2663"/>
        <w:gridCol w:w="1628"/>
        <w:gridCol w:w="4965"/>
      </w:tblGrid>
      <w:tr w:rsidR="00296A4C" w14:paraId="6EDFE26C" w14:textId="49F0A764" w:rsidTr="00296A4C">
        <w:trPr>
          <w:trHeight w:val="663"/>
        </w:trPr>
        <w:tc>
          <w:tcPr>
            <w:tcW w:w="2222" w:type="dxa"/>
            <w:shd w:val="clear" w:color="auto" w:fill="8AC880" w:themeFill="background1" w:themeFillShade="BF"/>
            <w:vAlign w:val="center"/>
          </w:tcPr>
          <w:p w14:paraId="2E82C10A" w14:textId="77777777" w:rsidR="00296A4C" w:rsidRPr="00296A4C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  <w:t>Risk Factor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69346888" w14:textId="2899C29F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NEGLIG</w:t>
            </w:r>
            <w:r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I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BLE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1A9B29B0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LOW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4D9AF737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MODERATE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D0ACE40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HIGH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2973BDA" w14:textId="77777777" w:rsidR="00296A4C" w:rsidRPr="004F3A28" w:rsidRDefault="00296A4C" w:rsidP="00924367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4F3A28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EXTREME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AC880" w:themeFill="background1" w:themeFillShade="BF"/>
            <w:vAlign w:val="center"/>
          </w:tcPr>
          <w:p w14:paraId="40A4B603" w14:textId="52F88E71" w:rsidR="00296A4C" w:rsidRPr="00296A4C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  <w:t>Rating</w:t>
            </w: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AC880" w:themeFill="background1" w:themeFillShade="BF"/>
            <w:vAlign w:val="center"/>
          </w:tcPr>
          <w:p w14:paraId="30527781" w14:textId="6F1CDFDF" w:rsidR="00296A4C" w:rsidRPr="00296A4C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D2EACE" w:themeColor="background1"/>
                <w:sz w:val="21"/>
                <w:szCs w:val="21"/>
              </w:rPr>
              <w:t>Reasoning</w:t>
            </w:r>
          </w:p>
        </w:tc>
      </w:tr>
      <w:tr w:rsidR="00296A4C" w14:paraId="5369C8E2" w14:textId="66BF50F9" w:rsidTr="00296A4C">
        <w:trPr>
          <w:trHeight w:val="1569"/>
        </w:trPr>
        <w:tc>
          <w:tcPr>
            <w:tcW w:w="2222" w:type="dxa"/>
            <w:vAlign w:val="center"/>
          </w:tcPr>
          <w:p w14:paraId="1DFE4D56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Threat environment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3FE998B6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Insignificant rates of violence; no political violence or civil unrest; no history of conflict; infrastructure is sound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7F9447FE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Low crime rates; generally free from political unrest; low-level / non-violent disruptions, limited terrorist / militant activity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769ADF3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Opportunistic crime common; violent crime infrequent; periodic political unrest with moderate violence; weak infrastructure; sporadic terrorist / militant activity; 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18"/>
                <w:szCs w:val="18"/>
              </w:rPr>
              <w:t>rumours of government human rights violations</w:t>
            </w: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2E72629A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High rates of opportunistic and violent crime; regular periods of political unrest; high incident risks of terrorist / militant activity, police corruption; very poor infrastructure; 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18"/>
                <w:szCs w:val="18"/>
              </w:rPr>
              <w:t>limiting of academic freedoms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753D802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State of war; government control / law &amp; order minimal or non-existent, continuous threat from terrorist or militant groups, </w:t>
            </w:r>
            <w:r w:rsidRPr="004F3A28">
              <w:rPr>
                <w:rFonts w:ascii="Verdana" w:hAnsi="Verdana"/>
                <w:b/>
                <w:color w:val="4A442A" w:themeColor="background2" w:themeShade="40"/>
                <w:sz w:val="18"/>
                <w:szCs w:val="18"/>
              </w:rPr>
              <w:t>frequent arbitrary arrests of academics by the state</w:t>
            </w: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3012F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25ABD" w14:textId="2A8D9800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6B2C3274" w14:textId="0DAFEF49" w:rsidTr="00296A4C">
        <w:trPr>
          <w:trHeight w:val="1658"/>
        </w:trPr>
        <w:tc>
          <w:tcPr>
            <w:tcW w:w="2222" w:type="dxa"/>
            <w:vAlign w:val="center"/>
          </w:tcPr>
          <w:p w14:paraId="1C4C5DD8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Context fragility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38B8F5D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in context remains stable and is very unlikely to deteriorate in the next 5 years +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2ABC3929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in context remains stable and is very unlikely to deteriorate in the next 2 years +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11E99DA2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is relatively stable, although there are subtle undertones of civil / social unrest that causes periodic, low-level violence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A510B1F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is fragile and is likely to deteriorate significantly under next 6 months leading to widespread violence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222471BD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Political situation is on the verge of collapse, and is likely to result in breakdown of law and order; or conflict.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D5B4D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B893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7A8DE622" w14:textId="6B4B66E1" w:rsidTr="00296A4C">
        <w:trPr>
          <w:trHeight w:val="1569"/>
        </w:trPr>
        <w:tc>
          <w:tcPr>
            <w:tcW w:w="2222" w:type="dxa"/>
            <w:vAlign w:val="center"/>
          </w:tcPr>
          <w:p w14:paraId="19988155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Traveller profile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0AA650A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bears no influence on risk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2970E80B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may result in infrequent verbal harassment. Unlikely to lead to violent targeting or arrest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6B82AB83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will raise some suspicion, and may result in occasional confrontational abuse and questioning by authorities.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0EFA9F4D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results in frequent confrontational abuse, occasional violent targeting and extortion attempts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FBE173A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Profile is highly sensitive and will not be tolerated by communities or authorities, and will result in violent attacks.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3E7B1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6C18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209C3A32" w14:textId="6C2AE7DA" w:rsidTr="00296A4C">
        <w:trPr>
          <w:trHeight w:val="1569"/>
        </w:trPr>
        <w:tc>
          <w:tcPr>
            <w:tcW w:w="2222" w:type="dxa"/>
            <w:vAlign w:val="center"/>
          </w:tcPr>
          <w:p w14:paraId="30C28CEE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Research sensitivity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32A5539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is not controversial in any way, and is widely discussed in public spheres or in local media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0B8391A2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does present some sensitivities, but is still widely discussed in public spheres.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5176B0EB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Government has controversial policies or actions relating to research topic, but limited implications if discussed in public spheres.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516E02A2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is perceived as being sensitive by communities and authorities, and is not discussed in public spheres and not tolerated by government.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0467E3D6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topic is illegal in-country, and those publicising information about will face arrest or imprisonment.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636B7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D7C8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66AF2913" w14:textId="316FE57F" w:rsidTr="00296A4C">
        <w:trPr>
          <w:trHeight w:val="1569"/>
        </w:trPr>
        <w:tc>
          <w:tcPr>
            <w:tcW w:w="2222" w:type="dxa"/>
            <w:vAlign w:val="center"/>
          </w:tcPr>
          <w:p w14:paraId="24716582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Research methodology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2D5001C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collected solely through electronic means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7161B337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 xml:space="preserve">Data may be collected through interacting with people, but is done so in a controlled environment and accompanied. 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4C25497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collection may involve face-to-face interviews outside of controlled environments, but is likely to be accompanied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D7FC66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collection will involve face-to-face interviews outside of controlled environments and will be unaccompanied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9EA258B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Data collection involves deception of authorities, frequent face-to-face interview in hostile or sensitive environments, and will be unaccompanied.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A2025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3FC6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5FEF198A" w14:textId="75B7996B" w:rsidTr="00296A4C">
        <w:trPr>
          <w:trHeight w:val="1569"/>
        </w:trPr>
        <w:tc>
          <w:tcPr>
            <w:tcW w:w="2222" w:type="dxa"/>
            <w:vAlign w:val="center"/>
          </w:tcPr>
          <w:p w14:paraId="68C7A719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Length of travel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4E626B2F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1-2 weeks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30B6C2A4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2 weeks to 1 month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6E55DBE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1 – 2 months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6EE1197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2 – 12 months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4C9A8BB9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1 year +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4570B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8413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  <w:tr w:rsidR="00296A4C" w14:paraId="4D2B1046" w14:textId="60289D73" w:rsidTr="00296A4C">
        <w:trPr>
          <w:trHeight w:val="1569"/>
        </w:trPr>
        <w:tc>
          <w:tcPr>
            <w:tcW w:w="2222" w:type="dxa"/>
            <w:vAlign w:val="center"/>
          </w:tcPr>
          <w:p w14:paraId="72B39B19" w14:textId="77777777" w:rsidR="00296A4C" w:rsidRPr="00296A4C" w:rsidRDefault="00296A4C" w:rsidP="00924367">
            <w:pPr>
              <w:pStyle w:val="ListParagraph"/>
              <w:ind w:left="0"/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</w:pPr>
            <w:r w:rsidRPr="00296A4C">
              <w:rPr>
                <w:rFonts w:ascii="Verdana" w:hAnsi="Verdana"/>
                <w:b/>
                <w:color w:val="4A442A" w:themeColor="background2" w:themeShade="40"/>
                <w:sz w:val="21"/>
                <w:szCs w:val="21"/>
              </w:rPr>
              <w:t>Ethical implications</w:t>
            </w:r>
          </w:p>
        </w:tc>
        <w:tc>
          <w:tcPr>
            <w:tcW w:w="2663" w:type="dxa"/>
            <w:shd w:val="clear" w:color="auto" w:fill="92D050"/>
            <w:vAlign w:val="center"/>
          </w:tcPr>
          <w:p w14:paraId="6F51F15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/ fieldwork places participants at no additional risks</w:t>
            </w:r>
          </w:p>
        </w:tc>
        <w:tc>
          <w:tcPr>
            <w:tcW w:w="2663" w:type="dxa"/>
            <w:shd w:val="clear" w:color="auto" w:fill="00B050"/>
            <w:vAlign w:val="center"/>
          </w:tcPr>
          <w:p w14:paraId="35A54A30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may place participants in an uncomfortable position due to its sensitivity.</w:t>
            </w:r>
          </w:p>
        </w:tc>
        <w:tc>
          <w:tcPr>
            <w:tcW w:w="2663" w:type="dxa"/>
            <w:shd w:val="clear" w:color="auto" w:fill="FFFF00"/>
            <w:vAlign w:val="center"/>
          </w:tcPr>
          <w:p w14:paraId="211BDF58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may place participants at mildly greater risk due to its sensitivity, but is very unlikely to result in arrest or targeting if not managed</w:t>
            </w:r>
          </w:p>
        </w:tc>
        <w:tc>
          <w:tcPr>
            <w:tcW w:w="2663" w:type="dxa"/>
            <w:shd w:val="clear" w:color="auto" w:fill="FFC000"/>
            <w:vAlign w:val="center"/>
          </w:tcPr>
          <w:p w14:paraId="4553E68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may place participants at greater risk due to its sensitivity, and is likely to result in arrest or targeting if not managed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EBF54F5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  <w:r w:rsidRPr="004F3A28"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  <w:t>Research will place participants at greater risk which is beyond the travellers capacity to control.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8D5FD" w14:textId="77777777" w:rsidR="00296A4C" w:rsidRPr="004F3A28" w:rsidRDefault="00296A4C" w:rsidP="00296A4C">
            <w:pPr>
              <w:pStyle w:val="ListParagraph"/>
              <w:ind w:left="0"/>
              <w:jc w:val="center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D28BC" w14:textId="77777777" w:rsidR="00296A4C" w:rsidRPr="004F3A28" w:rsidRDefault="00296A4C" w:rsidP="00924367">
            <w:pPr>
              <w:pStyle w:val="ListParagraph"/>
              <w:ind w:left="0"/>
              <w:rPr>
                <w:rFonts w:ascii="Verdana" w:hAnsi="Verdana"/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282E1213" w14:textId="683FB112" w:rsidR="004F3A28" w:rsidRPr="00174365" w:rsidRDefault="004F3A28" w:rsidP="00174365">
      <w:pPr>
        <w:ind w:left="360"/>
        <w:rPr>
          <w:rFonts w:ascii="Verdana" w:hAnsi="Verdana" w:cs="Arial"/>
          <w:sz w:val="20"/>
          <w:szCs w:val="20"/>
        </w:rPr>
      </w:pPr>
    </w:p>
    <w:sectPr w:rsidR="004F3A28" w:rsidRPr="00174365" w:rsidSect="004F3A28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720" w:bottom="720" w:left="720" w:header="28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25ADF" w14:textId="77777777" w:rsidR="00DE41B2" w:rsidRDefault="00DE41B2">
      <w:r>
        <w:separator/>
      </w:r>
    </w:p>
  </w:endnote>
  <w:endnote w:type="continuationSeparator" w:id="0">
    <w:p w14:paraId="75923D44" w14:textId="77777777" w:rsidR="00DE41B2" w:rsidRDefault="00DE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05B14" w14:textId="763B5873" w:rsidR="00CE59D3" w:rsidRDefault="00174365">
    <w:pPr>
      <w:pStyle w:val="Footer"/>
    </w:pPr>
    <w:r>
      <w:rPr>
        <w:rFonts w:ascii="Century Gothic" w:hAnsi="Century Gothic"/>
        <w:sz w:val="16"/>
      </w:rPr>
      <w:t>Risk Identification Form Aug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CFA" w14:textId="7685AED0" w:rsidR="00CE59D3" w:rsidRPr="0063790C" w:rsidRDefault="00CE59D3">
    <w:pPr>
      <w:pStyle w:val="Footer"/>
      <w:jc w:val="center"/>
      <w:rPr>
        <w:rFonts w:ascii="Century Gothic" w:hAnsi="Century Gothic"/>
        <w:sz w:val="16"/>
      </w:rPr>
    </w:pPr>
  </w:p>
  <w:p w14:paraId="21F6458E" w14:textId="77777777" w:rsidR="00CE59D3" w:rsidRDefault="00CE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3A14" w14:textId="77777777" w:rsidR="00DE41B2" w:rsidRDefault="00DE41B2">
      <w:r>
        <w:separator/>
      </w:r>
    </w:p>
  </w:footnote>
  <w:footnote w:type="continuationSeparator" w:id="0">
    <w:p w14:paraId="3F791B43" w14:textId="77777777" w:rsidR="00DE41B2" w:rsidRDefault="00DE4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4DF9" w14:textId="48554B88" w:rsidR="00CE59D3" w:rsidRDefault="009D6762" w:rsidP="0063790C">
    <w:pPr>
      <w:pStyle w:val="Header"/>
      <w:tabs>
        <w:tab w:val="right" w:pos="9214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5BD9DF" wp14:editId="6317189F">
          <wp:simplePos x="0" y="0"/>
          <wp:positionH relativeFrom="margin">
            <wp:align>right</wp:align>
          </wp:positionH>
          <wp:positionV relativeFrom="paragraph">
            <wp:posOffset>95194</wp:posOffset>
          </wp:positionV>
          <wp:extent cx="1265274" cy="449726"/>
          <wp:effectExtent l="0" t="0" r="0" b="762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S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74" cy="449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A3A45" w14:textId="42D1B997" w:rsidR="00CE59D3" w:rsidRDefault="00CE59D3" w:rsidP="004A03B0">
    <w:pPr>
      <w:pStyle w:val="Header"/>
      <w:ind w:left="-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CEC5" w14:textId="6FDED2EA" w:rsidR="00CE59D3" w:rsidRDefault="00CE59D3" w:rsidP="00634AFE">
    <w:pPr>
      <w:pStyle w:val="Header"/>
      <w:tabs>
        <w:tab w:val="right" w:pos="9214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C72124A" wp14:editId="498B8F61">
          <wp:simplePos x="0" y="0"/>
          <wp:positionH relativeFrom="margin">
            <wp:align>right</wp:align>
          </wp:positionH>
          <wp:positionV relativeFrom="paragraph">
            <wp:posOffset>67310</wp:posOffset>
          </wp:positionV>
          <wp:extent cx="1543685" cy="548640"/>
          <wp:effectExtent l="0" t="0" r="0" b="381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F8D4A38" w14:textId="5EC96970" w:rsidR="00CE59D3" w:rsidRDefault="00CE5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6C7C"/>
    <w:multiLevelType w:val="hybridMultilevel"/>
    <w:tmpl w:val="ED080688"/>
    <w:lvl w:ilvl="0" w:tplc="4D9CB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01F6"/>
    <w:multiLevelType w:val="hybridMultilevel"/>
    <w:tmpl w:val="0C7EBFE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C40414"/>
    <w:multiLevelType w:val="hybridMultilevel"/>
    <w:tmpl w:val="5AEEF5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932"/>
    <w:multiLevelType w:val="hybridMultilevel"/>
    <w:tmpl w:val="A99E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407C"/>
    <w:multiLevelType w:val="hybridMultilevel"/>
    <w:tmpl w:val="380E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3BD8"/>
    <w:multiLevelType w:val="hybridMultilevel"/>
    <w:tmpl w:val="191C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D3570"/>
    <w:multiLevelType w:val="hybridMultilevel"/>
    <w:tmpl w:val="6B60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7182C"/>
    <w:multiLevelType w:val="hybridMultilevel"/>
    <w:tmpl w:val="26B8E6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C3C02"/>
    <w:multiLevelType w:val="hybridMultilevel"/>
    <w:tmpl w:val="E5A6B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65E"/>
    <w:multiLevelType w:val="hybridMultilevel"/>
    <w:tmpl w:val="D1E6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06E43"/>
    <w:multiLevelType w:val="hybridMultilevel"/>
    <w:tmpl w:val="FE8E1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52A4"/>
    <w:multiLevelType w:val="hybridMultilevel"/>
    <w:tmpl w:val="2DC6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4650D"/>
    <w:multiLevelType w:val="hybridMultilevel"/>
    <w:tmpl w:val="D542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05E6"/>
    <w:multiLevelType w:val="hybridMultilevel"/>
    <w:tmpl w:val="F520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A2A"/>
    <w:multiLevelType w:val="hybridMultilevel"/>
    <w:tmpl w:val="DA6AA6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41C47"/>
    <w:multiLevelType w:val="hybridMultilevel"/>
    <w:tmpl w:val="9ACE5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0729A"/>
    <w:multiLevelType w:val="hybridMultilevel"/>
    <w:tmpl w:val="BF80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C43C6"/>
    <w:multiLevelType w:val="hybridMultilevel"/>
    <w:tmpl w:val="6B46B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916D5A"/>
    <w:multiLevelType w:val="hybridMultilevel"/>
    <w:tmpl w:val="363C23B6"/>
    <w:lvl w:ilvl="0" w:tplc="71AEABF4">
      <w:numFmt w:val="bullet"/>
      <w:lvlText w:val="-"/>
      <w:lvlJc w:val="left"/>
      <w:pPr>
        <w:ind w:left="3372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4452"/>
        </w:tabs>
        <w:ind w:left="4452" w:hanging="360"/>
      </w:pPr>
    </w:lvl>
    <w:lvl w:ilvl="2" w:tplc="08090005">
      <w:start w:val="1"/>
      <w:numFmt w:val="decimal"/>
      <w:lvlText w:val="%3."/>
      <w:lvlJc w:val="left"/>
      <w:pPr>
        <w:tabs>
          <w:tab w:val="num" w:pos="5172"/>
        </w:tabs>
        <w:ind w:left="5172" w:hanging="360"/>
      </w:pPr>
    </w:lvl>
    <w:lvl w:ilvl="3" w:tplc="08090001">
      <w:start w:val="1"/>
      <w:numFmt w:val="decimal"/>
      <w:lvlText w:val="%4."/>
      <w:lvlJc w:val="left"/>
      <w:pPr>
        <w:tabs>
          <w:tab w:val="num" w:pos="5892"/>
        </w:tabs>
        <w:ind w:left="5892" w:hanging="360"/>
      </w:pPr>
    </w:lvl>
    <w:lvl w:ilvl="4" w:tplc="08090003">
      <w:start w:val="1"/>
      <w:numFmt w:val="decimal"/>
      <w:lvlText w:val="%5."/>
      <w:lvlJc w:val="left"/>
      <w:pPr>
        <w:tabs>
          <w:tab w:val="num" w:pos="6612"/>
        </w:tabs>
        <w:ind w:left="6612" w:hanging="360"/>
      </w:pPr>
    </w:lvl>
    <w:lvl w:ilvl="5" w:tplc="08090005">
      <w:start w:val="1"/>
      <w:numFmt w:val="decimal"/>
      <w:lvlText w:val="%6."/>
      <w:lvlJc w:val="left"/>
      <w:pPr>
        <w:tabs>
          <w:tab w:val="num" w:pos="7332"/>
        </w:tabs>
        <w:ind w:left="7332" w:hanging="360"/>
      </w:pPr>
    </w:lvl>
    <w:lvl w:ilvl="6" w:tplc="08090001">
      <w:start w:val="1"/>
      <w:numFmt w:val="decimal"/>
      <w:lvlText w:val="%7."/>
      <w:lvlJc w:val="left"/>
      <w:pPr>
        <w:tabs>
          <w:tab w:val="num" w:pos="8052"/>
        </w:tabs>
        <w:ind w:left="8052" w:hanging="360"/>
      </w:pPr>
    </w:lvl>
    <w:lvl w:ilvl="7" w:tplc="08090003">
      <w:start w:val="1"/>
      <w:numFmt w:val="decimal"/>
      <w:lvlText w:val="%8."/>
      <w:lvlJc w:val="left"/>
      <w:pPr>
        <w:tabs>
          <w:tab w:val="num" w:pos="8772"/>
        </w:tabs>
        <w:ind w:left="8772" w:hanging="360"/>
      </w:pPr>
    </w:lvl>
    <w:lvl w:ilvl="8" w:tplc="08090005">
      <w:start w:val="1"/>
      <w:numFmt w:val="decimal"/>
      <w:lvlText w:val="%9."/>
      <w:lvlJc w:val="left"/>
      <w:pPr>
        <w:tabs>
          <w:tab w:val="num" w:pos="9492"/>
        </w:tabs>
        <w:ind w:left="9492" w:hanging="360"/>
      </w:pPr>
    </w:lvl>
  </w:abstractNum>
  <w:abstractNum w:abstractNumId="19" w15:restartNumberingAfterBreak="0">
    <w:nsid w:val="5D3D3AC4"/>
    <w:multiLevelType w:val="hybridMultilevel"/>
    <w:tmpl w:val="4A50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BE08D3"/>
    <w:multiLevelType w:val="hybridMultilevel"/>
    <w:tmpl w:val="CCA8E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A3AFC"/>
    <w:multiLevelType w:val="hybridMultilevel"/>
    <w:tmpl w:val="797E3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55CF9"/>
    <w:multiLevelType w:val="hybridMultilevel"/>
    <w:tmpl w:val="DB749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5917"/>
    <w:multiLevelType w:val="hybridMultilevel"/>
    <w:tmpl w:val="1B28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B3F0D"/>
    <w:multiLevelType w:val="hybridMultilevel"/>
    <w:tmpl w:val="36F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366D"/>
    <w:multiLevelType w:val="hybridMultilevel"/>
    <w:tmpl w:val="F6C0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6785E"/>
    <w:multiLevelType w:val="hybridMultilevel"/>
    <w:tmpl w:val="14FA1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96CA6"/>
    <w:multiLevelType w:val="hybridMultilevel"/>
    <w:tmpl w:val="EACC51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45418"/>
    <w:multiLevelType w:val="hybridMultilevel"/>
    <w:tmpl w:val="A414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3"/>
  </w:num>
  <w:num w:numId="5">
    <w:abstractNumId w:val="13"/>
  </w:num>
  <w:num w:numId="6">
    <w:abstractNumId w:val="23"/>
  </w:num>
  <w:num w:numId="7">
    <w:abstractNumId w:val="16"/>
  </w:num>
  <w:num w:numId="8">
    <w:abstractNumId w:val="24"/>
  </w:num>
  <w:num w:numId="9">
    <w:abstractNumId w:val="5"/>
  </w:num>
  <w:num w:numId="10">
    <w:abstractNumId w:val="11"/>
  </w:num>
  <w:num w:numId="11">
    <w:abstractNumId w:val="6"/>
  </w:num>
  <w:num w:numId="12">
    <w:abstractNumId w:val="18"/>
  </w:num>
  <w:num w:numId="13">
    <w:abstractNumId w:val="14"/>
  </w:num>
  <w:num w:numId="14">
    <w:abstractNumId w:val="15"/>
  </w:num>
  <w:num w:numId="15">
    <w:abstractNumId w:val="7"/>
  </w:num>
  <w:num w:numId="16">
    <w:abstractNumId w:val="20"/>
  </w:num>
  <w:num w:numId="17">
    <w:abstractNumId w:val="10"/>
  </w:num>
  <w:num w:numId="18">
    <w:abstractNumId w:val="9"/>
  </w:num>
  <w:num w:numId="19">
    <w:abstractNumId w:val="21"/>
  </w:num>
  <w:num w:numId="20">
    <w:abstractNumId w:val="25"/>
  </w:num>
  <w:num w:numId="21">
    <w:abstractNumId w:val="28"/>
  </w:num>
  <w:num w:numId="22">
    <w:abstractNumId w:val="26"/>
  </w:num>
  <w:num w:numId="23">
    <w:abstractNumId w:val="17"/>
  </w:num>
  <w:num w:numId="24">
    <w:abstractNumId w:val="12"/>
  </w:num>
  <w:num w:numId="25">
    <w:abstractNumId w:val="8"/>
  </w:num>
  <w:num w:numId="26">
    <w:abstractNumId w:val="0"/>
  </w:num>
  <w:num w:numId="27">
    <w:abstractNumId w:val="27"/>
  </w:num>
  <w:num w:numId="28">
    <w:abstractNumId w:val="2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E8"/>
    <w:rsid w:val="0000189A"/>
    <w:rsid w:val="00006DDE"/>
    <w:rsid w:val="000146E5"/>
    <w:rsid w:val="00016AE4"/>
    <w:rsid w:val="00026C63"/>
    <w:rsid w:val="00042FCA"/>
    <w:rsid w:val="000A3513"/>
    <w:rsid w:val="000E04C2"/>
    <w:rsid w:val="000E194E"/>
    <w:rsid w:val="000F21BD"/>
    <w:rsid w:val="00107297"/>
    <w:rsid w:val="00151C0C"/>
    <w:rsid w:val="00174365"/>
    <w:rsid w:val="0018101D"/>
    <w:rsid w:val="00197A5A"/>
    <w:rsid w:val="001A086A"/>
    <w:rsid w:val="001B47CC"/>
    <w:rsid w:val="001D0680"/>
    <w:rsid w:val="001F7741"/>
    <w:rsid w:val="002121A8"/>
    <w:rsid w:val="00247FF9"/>
    <w:rsid w:val="002545B0"/>
    <w:rsid w:val="00261B83"/>
    <w:rsid w:val="0028219C"/>
    <w:rsid w:val="00296A4C"/>
    <w:rsid w:val="00296BE0"/>
    <w:rsid w:val="002B4F23"/>
    <w:rsid w:val="002D67DD"/>
    <w:rsid w:val="00300D6F"/>
    <w:rsid w:val="00325887"/>
    <w:rsid w:val="00345C96"/>
    <w:rsid w:val="00345F5C"/>
    <w:rsid w:val="00360A19"/>
    <w:rsid w:val="00387B2B"/>
    <w:rsid w:val="00391CFC"/>
    <w:rsid w:val="003A09A7"/>
    <w:rsid w:val="003B34A9"/>
    <w:rsid w:val="003E7472"/>
    <w:rsid w:val="003F5AB8"/>
    <w:rsid w:val="00410859"/>
    <w:rsid w:val="00433E9A"/>
    <w:rsid w:val="00436537"/>
    <w:rsid w:val="004718FF"/>
    <w:rsid w:val="004A03B0"/>
    <w:rsid w:val="004B3946"/>
    <w:rsid w:val="004C7286"/>
    <w:rsid w:val="004F3A28"/>
    <w:rsid w:val="005278B5"/>
    <w:rsid w:val="00530144"/>
    <w:rsid w:val="005547CB"/>
    <w:rsid w:val="005A6483"/>
    <w:rsid w:val="005E1D60"/>
    <w:rsid w:val="005F77B4"/>
    <w:rsid w:val="00634AFE"/>
    <w:rsid w:val="0063790C"/>
    <w:rsid w:val="00644614"/>
    <w:rsid w:val="00660607"/>
    <w:rsid w:val="0066762F"/>
    <w:rsid w:val="00670D28"/>
    <w:rsid w:val="006A4BB3"/>
    <w:rsid w:val="006A6365"/>
    <w:rsid w:val="006B3541"/>
    <w:rsid w:val="006B78E3"/>
    <w:rsid w:val="006C596E"/>
    <w:rsid w:val="006E0629"/>
    <w:rsid w:val="006E227C"/>
    <w:rsid w:val="006F01F5"/>
    <w:rsid w:val="006F4D1D"/>
    <w:rsid w:val="00723168"/>
    <w:rsid w:val="007451CD"/>
    <w:rsid w:val="007473D5"/>
    <w:rsid w:val="00751320"/>
    <w:rsid w:val="00751B51"/>
    <w:rsid w:val="00777D39"/>
    <w:rsid w:val="00777FAC"/>
    <w:rsid w:val="007A47A2"/>
    <w:rsid w:val="007A4FFB"/>
    <w:rsid w:val="007E4F60"/>
    <w:rsid w:val="007E7511"/>
    <w:rsid w:val="00823DAD"/>
    <w:rsid w:val="00826AB2"/>
    <w:rsid w:val="008339A7"/>
    <w:rsid w:val="00842BEA"/>
    <w:rsid w:val="00871630"/>
    <w:rsid w:val="0089192D"/>
    <w:rsid w:val="008F6872"/>
    <w:rsid w:val="008F7773"/>
    <w:rsid w:val="00904382"/>
    <w:rsid w:val="00933ABC"/>
    <w:rsid w:val="00940462"/>
    <w:rsid w:val="009C14A2"/>
    <w:rsid w:val="009D0A3C"/>
    <w:rsid w:val="009D651C"/>
    <w:rsid w:val="009D6762"/>
    <w:rsid w:val="009D7652"/>
    <w:rsid w:val="009E6C45"/>
    <w:rsid w:val="00A03ED8"/>
    <w:rsid w:val="00A17BDE"/>
    <w:rsid w:val="00A3320B"/>
    <w:rsid w:val="00A834AB"/>
    <w:rsid w:val="00A97FD1"/>
    <w:rsid w:val="00AB07A2"/>
    <w:rsid w:val="00AB09BD"/>
    <w:rsid w:val="00B03455"/>
    <w:rsid w:val="00B12FFA"/>
    <w:rsid w:val="00B423F5"/>
    <w:rsid w:val="00B452DB"/>
    <w:rsid w:val="00B80654"/>
    <w:rsid w:val="00BB53FF"/>
    <w:rsid w:val="00BC1B7E"/>
    <w:rsid w:val="00BD74E8"/>
    <w:rsid w:val="00BE0218"/>
    <w:rsid w:val="00BF29DE"/>
    <w:rsid w:val="00C27A6C"/>
    <w:rsid w:val="00C560B2"/>
    <w:rsid w:val="00C577A9"/>
    <w:rsid w:val="00C601A2"/>
    <w:rsid w:val="00C83BAB"/>
    <w:rsid w:val="00C926D4"/>
    <w:rsid w:val="00CC5541"/>
    <w:rsid w:val="00CC7C08"/>
    <w:rsid w:val="00CE59D3"/>
    <w:rsid w:val="00D10121"/>
    <w:rsid w:val="00D20128"/>
    <w:rsid w:val="00D21625"/>
    <w:rsid w:val="00D338C1"/>
    <w:rsid w:val="00D37E0B"/>
    <w:rsid w:val="00D52669"/>
    <w:rsid w:val="00D728FC"/>
    <w:rsid w:val="00D92BE8"/>
    <w:rsid w:val="00D94BFF"/>
    <w:rsid w:val="00DC06B9"/>
    <w:rsid w:val="00DE41B2"/>
    <w:rsid w:val="00E05265"/>
    <w:rsid w:val="00E10B28"/>
    <w:rsid w:val="00E12312"/>
    <w:rsid w:val="00E15B42"/>
    <w:rsid w:val="00E16B20"/>
    <w:rsid w:val="00E27641"/>
    <w:rsid w:val="00E35BFF"/>
    <w:rsid w:val="00E42261"/>
    <w:rsid w:val="00E43C9C"/>
    <w:rsid w:val="00E809D5"/>
    <w:rsid w:val="00E86A11"/>
    <w:rsid w:val="00E92C38"/>
    <w:rsid w:val="00EF00C0"/>
    <w:rsid w:val="00F05751"/>
    <w:rsid w:val="00F23C22"/>
    <w:rsid w:val="00F523B5"/>
    <w:rsid w:val="00F56870"/>
    <w:rsid w:val="00F80E49"/>
    <w:rsid w:val="00F94274"/>
    <w:rsid w:val="00FA1CFA"/>
    <w:rsid w:val="00FE36A9"/>
    <w:rsid w:val="00FF39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C53E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1CD"/>
    <w:rPr>
      <w:rFonts w:ascii="Times New Roman" w:eastAsia="Times New Roman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19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19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B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BE8"/>
  </w:style>
  <w:style w:type="paragraph" w:styleId="Footer">
    <w:name w:val="footer"/>
    <w:basedOn w:val="Normal"/>
    <w:link w:val="FooterChar"/>
    <w:uiPriority w:val="99"/>
    <w:unhideWhenUsed/>
    <w:rsid w:val="00D92B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BE8"/>
  </w:style>
  <w:style w:type="paragraph" w:styleId="BalloonText">
    <w:name w:val="Balloon Text"/>
    <w:basedOn w:val="Normal"/>
    <w:link w:val="BalloonTextChar"/>
    <w:uiPriority w:val="99"/>
    <w:semiHidden/>
    <w:unhideWhenUsed/>
    <w:rsid w:val="00904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8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382"/>
    <w:pPr>
      <w:ind w:left="720"/>
    </w:pPr>
    <w:rPr>
      <w:sz w:val="22"/>
      <w:szCs w:val="22"/>
    </w:rPr>
  </w:style>
  <w:style w:type="table" w:styleId="TableGrid">
    <w:name w:val="Table Grid"/>
    <w:basedOn w:val="TableNormal"/>
    <w:uiPriority w:val="39"/>
    <w:rsid w:val="007451CD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21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1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19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219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8219C"/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75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258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C63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63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And.Safety@lse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0AD9-738D-46BF-9F6A-161E29A9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E179ACD5.dotm</Template>
  <TotalTime>17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 Shaw</dc:creator>
  <cp:keywords/>
  <cp:lastModifiedBy>von Schlippe</cp:lastModifiedBy>
  <cp:revision>5</cp:revision>
  <cp:lastPrinted>2016-08-20T10:41:00Z</cp:lastPrinted>
  <dcterms:created xsi:type="dcterms:W3CDTF">2017-08-24T14:38:00Z</dcterms:created>
  <dcterms:modified xsi:type="dcterms:W3CDTF">2019-04-16T10:45:00Z</dcterms:modified>
</cp:coreProperties>
</file>