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9AEF" w14:textId="116BA5E4" w:rsidR="00634AFE" w:rsidRDefault="00634AFE" w:rsidP="00634AFE">
      <w:pPr>
        <w:rPr>
          <w:rFonts w:ascii="Century Gothic" w:hAnsi="Century Gothic"/>
          <w:b/>
          <w:sz w:val="28"/>
          <w:szCs w:val="28"/>
        </w:rPr>
      </w:pPr>
    </w:p>
    <w:p w14:paraId="79C2D6AB" w14:textId="7F21352B" w:rsidR="004F3A28" w:rsidRDefault="004F3A28" w:rsidP="004F3A28">
      <w:pPr>
        <w:jc w:val="center"/>
        <w:rPr>
          <w:rFonts w:ascii="Verdana" w:hAnsi="Verdana" w:cs="Arial"/>
          <w:b/>
        </w:rPr>
      </w:pPr>
      <w:r w:rsidRPr="004F3A28">
        <w:rPr>
          <w:rFonts w:ascii="Verdana" w:hAnsi="Verdana" w:cs="Arial"/>
          <w:b/>
        </w:rPr>
        <w:t>Risk Identification Form for Complex Travel</w:t>
      </w:r>
    </w:p>
    <w:p w14:paraId="3801BBF7" w14:textId="3594CA9F" w:rsidR="004F3A28" w:rsidRDefault="004F3A28" w:rsidP="004F3A28">
      <w:pPr>
        <w:spacing w:before="60" w:after="60"/>
        <w:jc w:val="center"/>
        <w:rPr>
          <w:rFonts w:ascii="Verdana" w:hAnsi="Verdana" w:cs="Arial"/>
          <w:b/>
        </w:rPr>
      </w:pPr>
    </w:p>
    <w:p w14:paraId="6E78E1FE" w14:textId="78E7A371" w:rsidR="004F3A28" w:rsidRDefault="004F3A28" w:rsidP="004F3A28">
      <w:pPr>
        <w:pStyle w:val="ListParagraph"/>
        <w:numPr>
          <w:ilvl w:val="0"/>
          <w:numId w:val="30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This form only need to be completed if you are embarking on Complex travel. It must be appended to your </w:t>
      </w:r>
      <w:r w:rsidRPr="004F3A28">
        <w:rPr>
          <w:rFonts w:ascii="Verdana" w:hAnsi="Verdana" w:cs="Arial"/>
          <w:color w:val="0066FF"/>
          <w:sz w:val="20"/>
          <w:szCs w:val="20"/>
          <w:u w:val="single"/>
        </w:rPr>
        <w:t>Notification to Travel Form</w:t>
      </w:r>
      <w:r>
        <w:rPr>
          <w:rFonts w:ascii="Verdana" w:hAnsi="Verdana" w:cs="Arial"/>
          <w:sz w:val="20"/>
          <w:szCs w:val="20"/>
        </w:rPr>
        <w:t xml:space="preserve"> and submitted to </w:t>
      </w:r>
      <w:hyperlink r:id="rId8" w:history="1">
        <w:r w:rsidRPr="00D533A9">
          <w:rPr>
            <w:rStyle w:val="Hyperlink"/>
            <w:rFonts w:ascii="Verdana" w:hAnsi="Verdana" w:cs="Arial"/>
            <w:sz w:val="20"/>
            <w:szCs w:val="20"/>
          </w:rPr>
          <w:t>Health.And.Safety@lse.ac.uk</w:t>
        </w:r>
      </w:hyperlink>
      <w:r>
        <w:rPr>
          <w:rFonts w:ascii="Verdana" w:hAnsi="Verdana" w:cs="Arial"/>
          <w:sz w:val="20"/>
          <w:szCs w:val="20"/>
        </w:rPr>
        <w:t xml:space="preserve"> as early as possible</w:t>
      </w:r>
    </w:p>
    <w:p w14:paraId="69762880" w14:textId="5D1E399F" w:rsidR="004F3A28" w:rsidRDefault="004F3A28" w:rsidP="004F3A28">
      <w:pPr>
        <w:pStyle w:val="ListParagraph"/>
        <w:numPr>
          <w:ilvl w:val="0"/>
          <w:numId w:val="30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Taking into account your proposed travel, you must give a rating to each of the 7 ‘risk factors’ using the descriptors given.</w:t>
      </w:r>
    </w:p>
    <w:p w14:paraId="5A7884C3" w14:textId="77777777" w:rsidR="004F3A28" w:rsidRPr="004F3A28" w:rsidRDefault="004F3A28" w:rsidP="004F3A28">
      <w:pPr>
        <w:pStyle w:val="ListParagrap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22130" w:type="dxa"/>
        <w:tblInd w:w="-5" w:type="dxa"/>
        <w:tblLook w:val="04A0" w:firstRow="1" w:lastRow="0" w:firstColumn="1" w:lastColumn="0" w:noHBand="0" w:noVBand="1"/>
      </w:tblPr>
      <w:tblGrid>
        <w:gridCol w:w="2222"/>
        <w:gridCol w:w="2663"/>
        <w:gridCol w:w="2663"/>
        <w:gridCol w:w="2663"/>
        <w:gridCol w:w="2663"/>
        <w:gridCol w:w="2663"/>
        <w:gridCol w:w="1628"/>
        <w:gridCol w:w="4965"/>
      </w:tblGrid>
      <w:tr w:rsidR="00296A4C" w14:paraId="6EDFE26C" w14:textId="49F0A764" w:rsidTr="00296A4C">
        <w:trPr>
          <w:trHeight w:val="663"/>
        </w:trPr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2E82C10A" w14:textId="77777777" w:rsidR="00296A4C" w:rsidRPr="00296A4C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Risk Factor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69346888" w14:textId="2899C29F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NEGLIG</w:t>
            </w:r>
            <w:r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I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BLE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1A9B29B0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LOW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4D9AF737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MODERATE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D0ACE40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HIGH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2973BDA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EXTREME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A4B603" w14:textId="52F88E71" w:rsidR="00296A4C" w:rsidRPr="00296A4C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Rating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527781" w14:textId="6F1CDFDF" w:rsidR="00296A4C" w:rsidRPr="00296A4C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Reasoning</w:t>
            </w:r>
          </w:p>
        </w:tc>
      </w:tr>
      <w:tr w:rsidR="00296A4C" w14:paraId="5369C8E2" w14:textId="66BF50F9" w:rsidTr="00296A4C">
        <w:trPr>
          <w:trHeight w:val="1569"/>
        </w:trPr>
        <w:tc>
          <w:tcPr>
            <w:tcW w:w="2222" w:type="dxa"/>
            <w:vAlign w:val="center"/>
          </w:tcPr>
          <w:p w14:paraId="1DFE4D56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Threat environment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FE998B6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Insignificant rates of violence; no political violence or civil unrest; no history of conflict; infrastructure is sound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7F9447FE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Low crime rates; generally free from political unrest; low-level / non-violent disruptions, limited terrorist / militant activity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769ADF3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Opportunistic crime common; violent crime infrequent; periodic political unrest with moderate violence; weak infrastructure; sporadic terrorist / militant activity;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rumours of government human rights violations</w:t>
            </w: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2E72629A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High rates of opportunistic and violent crime; regular periods of political unrest; high incident risks of terrorist / militant activity, police corruption; very poor infrastructure;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limiting of academic freedoms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753D802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State of war; government control / law &amp; order minimal or non-existent, continuous threat from terrorist or militant groups,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frequent arbitrary arrests of academics by the state</w:t>
            </w: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3012F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25ABD" w14:textId="2A8D9800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6B2C3274" w14:textId="0DAFEF49" w:rsidTr="00296A4C">
        <w:trPr>
          <w:trHeight w:val="1658"/>
        </w:trPr>
        <w:tc>
          <w:tcPr>
            <w:tcW w:w="2222" w:type="dxa"/>
            <w:vAlign w:val="center"/>
          </w:tcPr>
          <w:p w14:paraId="1C4C5DD8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Context fragility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8B8F5D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in context remains stable and is very unlikely to deteriorate in the next 5 years +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2ABC3929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in context remains stable and is very unlikely to deteriorate in the next 2 years +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11E99D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relatively stable, although there are subtle undertones of civil / social unrest that causes periodic, low-level violence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A510B1F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fragile and is likely to deteriorate significantly under next 6 months leading to widespread violence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222471BD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on the verge of collapse, and is likely to result in breakdown of law and order; or conflict.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D5B4D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B893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7A8DE622" w14:textId="6B4B66E1" w:rsidTr="00296A4C">
        <w:trPr>
          <w:trHeight w:val="1569"/>
        </w:trPr>
        <w:tc>
          <w:tcPr>
            <w:tcW w:w="2222" w:type="dxa"/>
            <w:vAlign w:val="center"/>
          </w:tcPr>
          <w:p w14:paraId="19988155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Traveller profile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0AA650A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bears no influence on risk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2970E80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may result in infrequent verbal harassment. Unlikely to lead to violent targeting or arrest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6B82AB83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will raise some suspicion, and may result in occasional confrontational abuse and questioning by authorities.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0EFA9F4D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results in frequent confrontational abuse, occasional violent targeting and extortion attempts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FBE173A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is highly sensitive and will not be tolerated by communities or authorities, and will result in violent attacks.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3E7B1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6C18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209C3A32" w14:textId="6C2AE7DA" w:rsidTr="00296A4C">
        <w:trPr>
          <w:trHeight w:val="1569"/>
        </w:trPr>
        <w:tc>
          <w:tcPr>
            <w:tcW w:w="2222" w:type="dxa"/>
            <w:vAlign w:val="center"/>
          </w:tcPr>
          <w:p w14:paraId="30C28CEE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Research sensitivity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2A5539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not controversial in any way, and is widely discussed in public spheres or in local media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0B8391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does present some sensitivities, but is still widely discussed in public spheres.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5176B0E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Government has controversial policies or actions relating to research topic, but limited implications if discussed in public spheres.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516E02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perceived as being sensitive by communities and authorities, and is not discussed in public spheres and not tolerated by government.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0467E3D6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illegal in-country, and those publicising information about will face arrest or imprisonment.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636B7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D7C8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96A4C" w14:paraId="66AF2913" w14:textId="316FE57F" w:rsidTr="00296A4C">
        <w:trPr>
          <w:trHeight w:val="1569"/>
        </w:trPr>
        <w:tc>
          <w:tcPr>
            <w:tcW w:w="2222" w:type="dxa"/>
            <w:vAlign w:val="center"/>
          </w:tcPr>
          <w:p w14:paraId="24716582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Research methodology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2D5001C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collected solely through electronic means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7161B337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Data may be collected through interacting with people, but is done so in a controlled environment and accompanied. 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4C25497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may involve face-to-face interviews outside of controlled environments, but is likely to be accompanied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D7FC66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will involve face-to-face interviews outside of controlled environments and will be unaccompanied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9EA258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involves deception of authorities, frequent face-to-face interview in hostile or sensitive environments, and will be unaccompanied.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A2025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3FC6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5FEF198A" w14:textId="75B7996B" w:rsidTr="00296A4C">
        <w:trPr>
          <w:trHeight w:val="1569"/>
        </w:trPr>
        <w:tc>
          <w:tcPr>
            <w:tcW w:w="2222" w:type="dxa"/>
            <w:vAlign w:val="center"/>
          </w:tcPr>
          <w:p w14:paraId="68C7A719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Length of travel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4E626B2F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1-2 weeks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30B6C2A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2 weeks to 1 month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6E55DBE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 – 2 months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6EE1197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2 – 12 months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4C9A8BB9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 year +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4570B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8413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4D2B1046" w14:textId="60289D73" w:rsidTr="00296A4C">
        <w:trPr>
          <w:trHeight w:val="1569"/>
        </w:trPr>
        <w:tc>
          <w:tcPr>
            <w:tcW w:w="2222" w:type="dxa"/>
            <w:vAlign w:val="center"/>
          </w:tcPr>
          <w:p w14:paraId="72B39B19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Ethical implications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6F51F15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/ fieldwork places participants at no additional risks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35A54A3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in an uncomfortable position due to its sensitivity.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211BDF5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at mildly greater risk due to its sensitivity, but is very unlikely to result in arrest or targeting if not managed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553E68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at greater risk due to its sensitivity, and is likely to result in arrest or targeting if not managed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EBF54F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Research will place participants at greater risk which is beyond the </w:t>
            </w:r>
            <w:proofErr w:type="gramStart"/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travellers</w:t>
            </w:r>
            <w:proofErr w:type="gramEnd"/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 capacity to control.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8D5FD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D28B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</w:tbl>
    <w:p w14:paraId="282E1213" w14:textId="683FB112" w:rsidR="004F3A28" w:rsidRPr="004F3A28" w:rsidRDefault="004F3A28" w:rsidP="004F3A28">
      <w:pPr>
        <w:pStyle w:val="ListParagraph"/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</w:p>
    <w:sectPr w:rsidR="004F3A28" w:rsidRPr="004F3A28" w:rsidSect="004F3A28">
      <w:headerReference w:type="default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5ADF" w14:textId="77777777" w:rsidR="00DE41B2" w:rsidRDefault="00DE41B2">
      <w:r>
        <w:separator/>
      </w:r>
    </w:p>
  </w:endnote>
  <w:endnote w:type="continuationSeparator" w:id="0">
    <w:p w14:paraId="75923D44" w14:textId="77777777" w:rsidR="00DE41B2" w:rsidRDefault="00D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9A8EE" w14:textId="022B011E" w:rsidR="00CE59D3" w:rsidRPr="0063790C" w:rsidRDefault="00CE59D3" w:rsidP="009D6762">
    <w:pPr>
      <w:pStyle w:val="Footer"/>
      <w:rPr>
        <w:rFonts w:ascii="Century Gothic" w:hAnsi="Century Gothic"/>
        <w:sz w:val="16"/>
      </w:rPr>
    </w:pPr>
  </w:p>
  <w:p w14:paraId="40405B14" w14:textId="77777777" w:rsidR="00CE59D3" w:rsidRDefault="00CE5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DCFA" w14:textId="7685AED0" w:rsidR="00CE59D3" w:rsidRPr="0063790C" w:rsidRDefault="00CE59D3">
    <w:pPr>
      <w:pStyle w:val="Footer"/>
      <w:jc w:val="center"/>
      <w:rPr>
        <w:rFonts w:ascii="Century Gothic" w:hAnsi="Century Gothic"/>
        <w:sz w:val="16"/>
      </w:rPr>
    </w:pPr>
  </w:p>
  <w:p w14:paraId="21F6458E" w14:textId="77777777" w:rsidR="00CE59D3" w:rsidRDefault="00CE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3A14" w14:textId="77777777" w:rsidR="00DE41B2" w:rsidRDefault="00DE41B2">
      <w:r>
        <w:separator/>
      </w:r>
    </w:p>
  </w:footnote>
  <w:footnote w:type="continuationSeparator" w:id="0">
    <w:p w14:paraId="3F791B43" w14:textId="77777777" w:rsidR="00DE41B2" w:rsidRDefault="00DE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4DF9" w14:textId="02C9B0BF" w:rsidR="00CE59D3" w:rsidRDefault="009D6762" w:rsidP="0063790C">
    <w:pPr>
      <w:pStyle w:val="Header"/>
      <w:tabs>
        <w:tab w:val="right" w:pos="921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5BD9DF" wp14:editId="6317189F">
          <wp:simplePos x="0" y="0"/>
          <wp:positionH relativeFrom="margin">
            <wp:align>right</wp:align>
          </wp:positionH>
          <wp:positionV relativeFrom="paragraph">
            <wp:posOffset>95194</wp:posOffset>
          </wp:positionV>
          <wp:extent cx="1265274" cy="449726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74" cy="449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9D3">
      <w:tab/>
    </w:r>
    <w:r w:rsidR="00CE59D3">
      <w:tab/>
    </w:r>
  </w:p>
  <w:p w14:paraId="18CA3A45" w14:textId="42D1B997" w:rsidR="00CE59D3" w:rsidRDefault="00CE59D3" w:rsidP="004A03B0">
    <w:pPr>
      <w:pStyle w:val="Header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CEC5" w14:textId="6FDED2EA" w:rsidR="00CE59D3" w:rsidRDefault="00CE59D3" w:rsidP="00634AFE">
    <w:pPr>
      <w:pStyle w:val="Header"/>
      <w:tabs>
        <w:tab w:val="right" w:pos="921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72124A" wp14:editId="498B8F61">
          <wp:simplePos x="0" y="0"/>
          <wp:positionH relativeFrom="margin">
            <wp:align>right</wp:align>
          </wp:positionH>
          <wp:positionV relativeFrom="paragraph">
            <wp:posOffset>67310</wp:posOffset>
          </wp:positionV>
          <wp:extent cx="1543685" cy="548640"/>
          <wp:effectExtent l="0" t="0" r="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F8D4A38" w14:textId="5EC96970" w:rsidR="00CE59D3" w:rsidRDefault="00CE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6C7C"/>
    <w:multiLevelType w:val="hybridMultilevel"/>
    <w:tmpl w:val="ED080688"/>
    <w:lvl w:ilvl="0" w:tplc="4D9CB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01F6"/>
    <w:multiLevelType w:val="hybridMultilevel"/>
    <w:tmpl w:val="0C7EBFE6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8C40414"/>
    <w:multiLevelType w:val="hybridMultilevel"/>
    <w:tmpl w:val="5AEEF5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6932"/>
    <w:multiLevelType w:val="hybridMultilevel"/>
    <w:tmpl w:val="A99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407C"/>
    <w:multiLevelType w:val="hybridMultilevel"/>
    <w:tmpl w:val="380E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33BD8"/>
    <w:multiLevelType w:val="hybridMultilevel"/>
    <w:tmpl w:val="191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D3570"/>
    <w:multiLevelType w:val="hybridMultilevel"/>
    <w:tmpl w:val="6B60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182C"/>
    <w:multiLevelType w:val="hybridMultilevel"/>
    <w:tmpl w:val="26B8E6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C3C02"/>
    <w:multiLevelType w:val="hybridMultilevel"/>
    <w:tmpl w:val="E5A6B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5065E"/>
    <w:multiLevelType w:val="hybridMultilevel"/>
    <w:tmpl w:val="D1E6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6E43"/>
    <w:multiLevelType w:val="hybridMultilevel"/>
    <w:tmpl w:val="FE8E1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52A4"/>
    <w:multiLevelType w:val="hybridMultilevel"/>
    <w:tmpl w:val="2DC6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4650D"/>
    <w:multiLevelType w:val="hybridMultilevel"/>
    <w:tmpl w:val="D542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305E6"/>
    <w:multiLevelType w:val="hybridMultilevel"/>
    <w:tmpl w:val="F52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4A2A"/>
    <w:multiLevelType w:val="hybridMultilevel"/>
    <w:tmpl w:val="DA6AA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C47"/>
    <w:multiLevelType w:val="hybridMultilevel"/>
    <w:tmpl w:val="9ACE5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0729A"/>
    <w:multiLevelType w:val="hybridMultilevel"/>
    <w:tmpl w:val="BF8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C43C6"/>
    <w:multiLevelType w:val="hybridMultilevel"/>
    <w:tmpl w:val="6B46B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916D5A"/>
    <w:multiLevelType w:val="hybridMultilevel"/>
    <w:tmpl w:val="363C23B6"/>
    <w:lvl w:ilvl="0" w:tplc="71AEABF4">
      <w:numFmt w:val="bullet"/>
      <w:lvlText w:val="-"/>
      <w:lvlJc w:val="left"/>
      <w:pPr>
        <w:ind w:left="3372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452"/>
        </w:tabs>
        <w:ind w:left="4452" w:hanging="360"/>
      </w:pPr>
    </w:lvl>
    <w:lvl w:ilvl="2" w:tplc="08090005">
      <w:start w:val="1"/>
      <w:numFmt w:val="decimal"/>
      <w:lvlText w:val="%3."/>
      <w:lvlJc w:val="left"/>
      <w:pPr>
        <w:tabs>
          <w:tab w:val="num" w:pos="5172"/>
        </w:tabs>
        <w:ind w:left="5172" w:hanging="360"/>
      </w:pPr>
    </w:lvl>
    <w:lvl w:ilvl="3" w:tplc="08090001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08090003">
      <w:start w:val="1"/>
      <w:numFmt w:val="decimal"/>
      <w:lvlText w:val="%5."/>
      <w:lvlJc w:val="left"/>
      <w:pPr>
        <w:tabs>
          <w:tab w:val="num" w:pos="6612"/>
        </w:tabs>
        <w:ind w:left="6612" w:hanging="360"/>
      </w:pPr>
    </w:lvl>
    <w:lvl w:ilvl="5" w:tplc="08090005">
      <w:start w:val="1"/>
      <w:numFmt w:val="decimal"/>
      <w:lvlText w:val="%6."/>
      <w:lvlJc w:val="left"/>
      <w:pPr>
        <w:tabs>
          <w:tab w:val="num" w:pos="7332"/>
        </w:tabs>
        <w:ind w:left="7332" w:hanging="360"/>
      </w:pPr>
    </w:lvl>
    <w:lvl w:ilvl="6" w:tplc="08090001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08090003">
      <w:start w:val="1"/>
      <w:numFmt w:val="decimal"/>
      <w:lvlText w:val="%8."/>
      <w:lvlJc w:val="left"/>
      <w:pPr>
        <w:tabs>
          <w:tab w:val="num" w:pos="8772"/>
        </w:tabs>
        <w:ind w:left="8772" w:hanging="360"/>
      </w:pPr>
    </w:lvl>
    <w:lvl w:ilvl="8" w:tplc="08090005">
      <w:start w:val="1"/>
      <w:numFmt w:val="decimal"/>
      <w:lvlText w:val="%9."/>
      <w:lvlJc w:val="left"/>
      <w:pPr>
        <w:tabs>
          <w:tab w:val="num" w:pos="9492"/>
        </w:tabs>
        <w:ind w:left="9492" w:hanging="360"/>
      </w:pPr>
    </w:lvl>
  </w:abstractNum>
  <w:abstractNum w:abstractNumId="19">
    <w:nsid w:val="5D3D3AC4"/>
    <w:multiLevelType w:val="hybridMultilevel"/>
    <w:tmpl w:val="4A503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BE08D3"/>
    <w:multiLevelType w:val="hybridMultilevel"/>
    <w:tmpl w:val="CCA8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AFC"/>
    <w:multiLevelType w:val="hybridMultilevel"/>
    <w:tmpl w:val="797E3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5CF9"/>
    <w:multiLevelType w:val="hybridMultilevel"/>
    <w:tmpl w:val="DB74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05917"/>
    <w:multiLevelType w:val="hybridMultilevel"/>
    <w:tmpl w:val="1B2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B3F0D"/>
    <w:multiLevelType w:val="hybridMultilevel"/>
    <w:tmpl w:val="36F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3366D"/>
    <w:multiLevelType w:val="hybridMultilevel"/>
    <w:tmpl w:val="F6C0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6785E"/>
    <w:multiLevelType w:val="hybridMultilevel"/>
    <w:tmpl w:val="14FA1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96CA6"/>
    <w:multiLevelType w:val="hybridMultilevel"/>
    <w:tmpl w:val="EACC5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45418"/>
    <w:multiLevelType w:val="hybridMultilevel"/>
    <w:tmpl w:val="A414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9"/>
  </w:num>
  <w:num w:numId="19">
    <w:abstractNumId w:val="21"/>
  </w:num>
  <w:num w:numId="20">
    <w:abstractNumId w:val="25"/>
  </w:num>
  <w:num w:numId="21">
    <w:abstractNumId w:val="28"/>
  </w:num>
  <w:num w:numId="22">
    <w:abstractNumId w:val="26"/>
  </w:num>
  <w:num w:numId="23">
    <w:abstractNumId w:val="17"/>
  </w:num>
  <w:num w:numId="24">
    <w:abstractNumId w:val="12"/>
  </w:num>
  <w:num w:numId="25">
    <w:abstractNumId w:val="8"/>
  </w:num>
  <w:num w:numId="26">
    <w:abstractNumId w:val="0"/>
  </w:num>
  <w:num w:numId="27">
    <w:abstractNumId w:val="27"/>
  </w:num>
  <w:num w:numId="28">
    <w:abstractNumId w:val="2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8"/>
    <w:rsid w:val="0000189A"/>
    <w:rsid w:val="00006DDE"/>
    <w:rsid w:val="000146E5"/>
    <w:rsid w:val="00016AE4"/>
    <w:rsid w:val="00026C63"/>
    <w:rsid w:val="00042FCA"/>
    <w:rsid w:val="000A3513"/>
    <w:rsid w:val="000E04C2"/>
    <w:rsid w:val="000E194E"/>
    <w:rsid w:val="000F21BD"/>
    <w:rsid w:val="00107297"/>
    <w:rsid w:val="00151C0C"/>
    <w:rsid w:val="0018101D"/>
    <w:rsid w:val="00197A5A"/>
    <w:rsid w:val="001A086A"/>
    <w:rsid w:val="001B47CC"/>
    <w:rsid w:val="001D0680"/>
    <w:rsid w:val="001F7741"/>
    <w:rsid w:val="002121A8"/>
    <w:rsid w:val="00247FF9"/>
    <w:rsid w:val="002545B0"/>
    <w:rsid w:val="00261B83"/>
    <w:rsid w:val="0028219C"/>
    <w:rsid w:val="00296A4C"/>
    <w:rsid w:val="00296BE0"/>
    <w:rsid w:val="002B4F23"/>
    <w:rsid w:val="002D67DD"/>
    <w:rsid w:val="00300D6F"/>
    <w:rsid w:val="00325887"/>
    <w:rsid w:val="00345C96"/>
    <w:rsid w:val="00345F5C"/>
    <w:rsid w:val="00360A19"/>
    <w:rsid w:val="00387B2B"/>
    <w:rsid w:val="00391CFC"/>
    <w:rsid w:val="003A09A7"/>
    <w:rsid w:val="003B34A9"/>
    <w:rsid w:val="003E7472"/>
    <w:rsid w:val="003F5AB8"/>
    <w:rsid w:val="00410859"/>
    <w:rsid w:val="00433E9A"/>
    <w:rsid w:val="00436537"/>
    <w:rsid w:val="004718FF"/>
    <w:rsid w:val="004A03B0"/>
    <w:rsid w:val="004B3946"/>
    <w:rsid w:val="004C7286"/>
    <w:rsid w:val="004F3A28"/>
    <w:rsid w:val="005278B5"/>
    <w:rsid w:val="00530144"/>
    <w:rsid w:val="005547CB"/>
    <w:rsid w:val="005A6483"/>
    <w:rsid w:val="005E1D60"/>
    <w:rsid w:val="005F77B4"/>
    <w:rsid w:val="00634AFE"/>
    <w:rsid w:val="0063790C"/>
    <w:rsid w:val="00644614"/>
    <w:rsid w:val="00660607"/>
    <w:rsid w:val="0066762F"/>
    <w:rsid w:val="00670D28"/>
    <w:rsid w:val="006A4BB3"/>
    <w:rsid w:val="006A6365"/>
    <w:rsid w:val="006B3541"/>
    <w:rsid w:val="006B78E3"/>
    <w:rsid w:val="006C596E"/>
    <w:rsid w:val="006E0629"/>
    <w:rsid w:val="006E227C"/>
    <w:rsid w:val="006F01F5"/>
    <w:rsid w:val="006F4D1D"/>
    <w:rsid w:val="00723168"/>
    <w:rsid w:val="007451CD"/>
    <w:rsid w:val="007473D5"/>
    <w:rsid w:val="00751320"/>
    <w:rsid w:val="00751B51"/>
    <w:rsid w:val="00777D39"/>
    <w:rsid w:val="00777FAC"/>
    <w:rsid w:val="007A47A2"/>
    <w:rsid w:val="007A4FFB"/>
    <w:rsid w:val="007E4F60"/>
    <w:rsid w:val="007E7511"/>
    <w:rsid w:val="00826AB2"/>
    <w:rsid w:val="008339A7"/>
    <w:rsid w:val="00842BEA"/>
    <w:rsid w:val="00871630"/>
    <w:rsid w:val="0089192D"/>
    <w:rsid w:val="008F6872"/>
    <w:rsid w:val="008F7773"/>
    <w:rsid w:val="00904382"/>
    <w:rsid w:val="00933ABC"/>
    <w:rsid w:val="00940462"/>
    <w:rsid w:val="009C14A2"/>
    <w:rsid w:val="009D0A3C"/>
    <w:rsid w:val="009D651C"/>
    <w:rsid w:val="009D6762"/>
    <w:rsid w:val="009D7652"/>
    <w:rsid w:val="009E6C45"/>
    <w:rsid w:val="00A03ED8"/>
    <w:rsid w:val="00A17BDE"/>
    <w:rsid w:val="00A3320B"/>
    <w:rsid w:val="00A834AB"/>
    <w:rsid w:val="00A97FD1"/>
    <w:rsid w:val="00AB07A2"/>
    <w:rsid w:val="00AB09BD"/>
    <w:rsid w:val="00AC41ED"/>
    <w:rsid w:val="00B03455"/>
    <w:rsid w:val="00B12FFA"/>
    <w:rsid w:val="00B423F5"/>
    <w:rsid w:val="00B452DB"/>
    <w:rsid w:val="00B80654"/>
    <w:rsid w:val="00BB53FF"/>
    <w:rsid w:val="00BC1B7E"/>
    <w:rsid w:val="00BD74E8"/>
    <w:rsid w:val="00BE0218"/>
    <w:rsid w:val="00BF29DE"/>
    <w:rsid w:val="00C27A6C"/>
    <w:rsid w:val="00C560B2"/>
    <w:rsid w:val="00C577A9"/>
    <w:rsid w:val="00C601A2"/>
    <w:rsid w:val="00C83BAB"/>
    <w:rsid w:val="00C926D4"/>
    <w:rsid w:val="00CC5541"/>
    <w:rsid w:val="00CC7C08"/>
    <w:rsid w:val="00CE59D3"/>
    <w:rsid w:val="00D10121"/>
    <w:rsid w:val="00D20128"/>
    <w:rsid w:val="00D21625"/>
    <w:rsid w:val="00D338C1"/>
    <w:rsid w:val="00D37E0B"/>
    <w:rsid w:val="00D52669"/>
    <w:rsid w:val="00D728FC"/>
    <w:rsid w:val="00D92BE8"/>
    <w:rsid w:val="00D94BFF"/>
    <w:rsid w:val="00DC06B9"/>
    <w:rsid w:val="00DE41B2"/>
    <w:rsid w:val="00E05265"/>
    <w:rsid w:val="00E10B28"/>
    <w:rsid w:val="00E12312"/>
    <w:rsid w:val="00E15B42"/>
    <w:rsid w:val="00E16B20"/>
    <w:rsid w:val="00E27641"/>
    <w:rsid w:val="00E35BFF"/>
    <w:rsid w:val="00E42261"/>
    <w:rsid w:val="00E43C9C"/>
    <w:rsid w:val="00E809D5"/>
    <w:rsid w:val="00E86A11"/>
    <w:rsid w:val="00E92C38"/>
    <w:rsid w:val="00EF00C0"/>
    <w:rsid w:val="00F05751"/>
    <w:rsid w:val="00F23C22"/>
    <w:rsid w:val="00F523B5"/>
    <w:rsid w:val="00F56870"/>
    <w:rsid w:val="00F80E49"/>
    <w:rsid w:val="00F94274"/>
    <w:rsid w:val="00FA1CFA"/>
    <w:rsid w:val="00FE36A9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53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CD"/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1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19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E8"/>
  </w:style>
  <w:style w:type="paragraph" w:styleId="Footer">
    <w:name w:val="footer"/>
    <w:basedOn w:val="Normal"/>
    <w:link w:val="FooterChar"/>
    <w:uiPriority w:val="99"/>
    <w:unhideWhenUsed/>
    <w:rsid w:val="00D92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E8"/>
  </w:style>
  <w:style w:type="paragraph" w:styleId="BalloonText">
    <w:name w:val="Balloon Text"/>
    <w:basedOn w:val="Normal"/>
    <w:link w:val="BalloonTextChar"/>
    <w:uiPriority w:val="99"/>
    <w:semiHidden/>
    <w:unhideWhenUsed/>
    <w:rsid w:val="00904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382"/>
    <w:pPr>
      <w:ind w:left="72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451CD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19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219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219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75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58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6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6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And.Safety@ls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19E0-57C4-4D5A-91F5-A06C2615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Shaw</dc:creator>
  <cp:keywords/>
  <cp:lastModifiedBy>Anou,S</cp:lastModifiedBy>
  <cp:revision>2</cp:revision>
  <cp:lastPrinted>2016-08-20T10:41:00Z</cp:lastPrinted>
  <dcterms:created xsi:type="dcterms:W3CDTF">2018-08-23T12:44:00Z</dcterms:created>
  <dcterms:modified xsi:type="dcterms:W3CDTF">2018-08-23T12:44:00Z</dcterms:modified>
</cp:coreProperties>
</file>