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0FE" w:rsidRPr="00F92235" w:rsidRDefault="00F92235" w:rsidP="00F92235">
      <w:pPr>
        <w:pStyle w:val="BodyText"/>
        <w:rPr>
          <w:rFonts w:ascii="Arial" w:hAnsi="Arial" w:cs="Arial"/>
        </w:rPr>
      </w:pPr>
      <w:r w:rsidRPr="00F92235">
        <w:rPr>
          <w:rFonts w:ascii="Arial" w:hAnsi="Arial" w:cs="Arial"/>
          <w:noProof/>
          <w:lang w:bidi="ar-SA"/>
        </w:rPr>
        <w:drawing>
          <wp:inline distT="0" distB="0" distL="0" distR="0" wp14:anchorId="4FFCD477" wp14:editId="2891048B">
            <wp:extent cx="2124075" cy="648970"/>
            <wp:effectExtent l="0" t="0" r="9525" b="0"/>
            <wp:docPr id="5" name="Picture 5" descr="Z:\Communications and web materials\Images\Logo\LSE_EDI_CMYK_blk_txt.jpg"/>
            <wp:cNvGraphicFramePr/>
            <a:graphic xmlns:a="http://schemas.openxmlformats.org/drawingml/2006/main">
              <a:graphicData uri="http://schemas.openxmlformats.org/drawingml/2006/picture">
                <pic:pic xmlns:pic="http://schemas.openxmlformats.org/drawingml/2006/picture">
                  <pic:nvPicPr>
                    <pic:cNvPr id="5" name="Picture 5" descr="Z:\Communications and web materials\Images\Logo\LSE_EDI_CMYK_blk_txt.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4075" cy="648970"/>
                    </a:xfrm>
                    <a:prstGeom prst="rect">
                      <a:avLst/>
                    </a:prstGeom>
                    <a:noFill/>
                    <a:ln>
                      <a:noFill/>
                    </a:ln>
                  </pic:spPr>
                </pic:pic>
              </a:graphicData>
            </a:graphic>
          </wp:inline>
        </w:drawing>
      </w:r>
    </w:p>
    <w:p w:rsidR="00F92235" w:rsidRPr="00F92235" w:rsidRDefault="00F92235" w:rsidP="00F92235">
      <w:pPr>
        <w:pStyle w:val="BodyText"/>
        <w:rPr>
          <w:rFonts w:ascii="Arial" w:hAnsi="Arial" w:cs="Arial"/>
        </w:rPr>
      </w:pPr>
    </w:p>
    <w:p w:rsidR="00FC5ED8" w:rsidRDefault="00FC5ED8" w:rsidP="004300D1">
      <w:pPr>
        <w:spacing w:line="337" w:lineRule="exact"/>
        <w:rPr>
          <w:rFonts w:ascii="Arial" w:hAnsi="Arial" w:cs="Arial"/>
          <w:b/>
        </w:rPr>
      </w:pPr>
      <w:r>
        <w:rPr>
          <w:rFonts w:ascii="Arial" w:hAnsi="Arial" w:cs="Arial"/>
          <w:b/>
        </w:rPr>
        <w:t>EIA template with guiding notes</w:t>
      </w:r>
    </w:p>
    <w:p w:rsidR="004300D1" w:rsidRPr="00F92235" w:rsidRDefault="004300D1" w:rsidP="004300D1">
      <w:pPr>
        <w:spacing w:line="337" w:lineRule="exact"/>
        <w:rPr>
          <w:rFonts w:ascii="Arial" w:hAnsi="Arial" w:cs="Arial"/>
          <w:b/>
        </w:rPr>
      </w:pPr>
      <w:r w:rsidRPr="00FC5ED8">
        <w:rPr>
          <w:rFonts w:ascii="Arial" w:hAnsi="Arial" w:cs="Arial"/>
        </w:rPr>
        <w:t xml:space="preserve">Equality Impact Assessment Form with Notes (please note that this is a guidance version of our main form – a blank version is available on our webpages: </w:t>
      </w:r>
      <w:hyperlink r:id="rId9" w:history="1">
        <w:r w:rsidRPr="00F92235">
          <w:rPr>
            <w:rStyle w:val="Hyperlink"/>
            <w:rFonts w:ascii="Arial" w:hAnsi="Arial" w:cs="Arial"/>
          </w:rPr>
          <w:t>https://info.lse.ac.uk/staff/divisions/equity-diversity-and-inclusion</w:t>
        </w:r>
      </w:hyperlink>
      <w:r w:rsidRPr="00F92235">
        <w:rPr>
          <w:rFonts w:ascii="Arial" w:hAnsi="Arial" w:cs="Arial"/>
          <w:b/>
        </w:rPr>
        <w:t xml:space="preserve"> </w:t>
      </w:r>
    </w:p>
    <w:p w:rsidR="004300D1" w:rsidRPr="00F92235" w:rsidRDefault="004300D1">
      <w:pPr>
        <w:pStyle w:val="BodyText"/>
        <w:ind w:left="1377" w:right="1853"/>
        <w:rPr>
          <w:rFonts w:ascii="Arial" w:hAnsi="Arial" w:cs="Arial"/>
        </w:rPr>
      </w:pPr>
    </w:p>
    <w:p w:rsidR="009660FE" w:rsidRPr="00F92235" w:rsidRDefault="009E4E81" w:rsidP="004300D1">
      <w:pPr>
        <w:pStyle w:val="BodyText"/>
        <w:ind w:right="1853"/>
        <w:rPr>
          <w:rFonts w:ascii="Arial" w:hAnsi="Arial" w:cs="Arial"/>
        </w:rPr>
      </w:pPr>
      <w:r w:rsidRPr="00F92235">
        <w:rPr>
          <w:rFonts w:ascii="Arial" w:hAnsi="Arial" w:cs="Arial"/>
        </w:rPr>
        <w:t xml:space="preserve">Where further guidance is needed, please contact your EDI Network </w:t>
      </w:r>
      <w:r w:rsidR="00B845C0" w:rsidRPr="00F92235">
        <w:rPr>
          <w:rFonts w:ascii="Arial" w:hAnsi="Arial" w:cs="Arial"/>
        </w:rPr>
        <w:t>representative or</w:t>
      </w:r>
      <w:r w:rsidRPr="00F92235">
        <w:rPr>
          <w:rFonts w:ascii="Arial" w:hAnsi="Arial" w:cs="Arial"/>
        </w:rPr>
        <w:t xml:space="preserve"> the</w:t>
      </w:r>
      <w:r w:rsidR="0035494D" w:rsidRPr="00F92235">
        <w:rPr>
          <w:rFonts w:ascii="Arial" w:hAnsi="Arial" w:cs="Arial"/>
        </w:rPr>
        <w:t xml:space="preserve"> EDI</w:t>
      </w:r>
      <w:r w:rsidRPr="00F92235">
        <w:rPr>
          <w:rFonts w:ascii="Arial" w:hAnsi="Arial" w:cs="Arial"/>
        </w:rPr>
        <w:t xml:space="preserve"> team</w:t>
      </w:r>
      <w:r w:rsidR="0035494D" w:rsidRPr="00F92235">
        <w:rPr>
          <w:rFonts w:ascii="Arial" w:hAnsi="Arial" w:cs="Arial"/>
        </w:rPr>
        <w:t xml:space="preserve"> at</w:t>
      </w:r>
      <w:r w:rsidR="0035494D" w:rsidRPr="00F92235">
        <w:rPr>
          <w:rFonts w:ascii="Arial" w:hAnsi="Arial" w:cs="Arial"/>
          <w:spacing w:val="-21"/>
        </w:rPr>
        <w:t xml:space="preserve"> </w:t>
      </w:r>
      <w:hyperlink r:id="rId10">
        <w:r w:rsidR="0035494D" w:rsidRPr="00F92235">
          <w:rPr>
            <w:rFonts w:ascii="Arial" w:hAnsi="Arial" w:cs="Arial"/>
          </w:rPr>
          <w:t>edi@lse.ac.uk.</w:t>
        </w:r>
      </w:hyperlink>
    </w:p>
    <w:p w:rsidR="009660FE" w:rsidRPr="00F92235" w:rsidRDefault="009660FE">
      <w:pPr>
        <w:pStyle w:val="BodyText"/>
        <w:rPr>
          <w:rFonts w:ascii="Arial" w:hAnsi="Arial" w:cs="Arial"/>
        </w:rPr>
      </w:pPr>
    </w:p>
    <w:p w:rsidR="009660FE" w:rsidRPr="00F92235" w:rsidRDefault="009660FE">
      <w:pPr>
        <w:pStyle w:val="BodyText"/>
        <w:spacing w:before="4"/>
        <w:rPr>
          <w:rFonts w:ascii="Arial" w:hAnsi="Arial" w:cs="Arial"/>
        </w:rPr>
      </w:pPr>
    </w:p>
    <w:tbl>
      <w:tblPr>
        <w:tblW w:w="9877" w:type="dxa"/>
        <w:tblInd w:w="-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4232"/>
        <w:gridCol w:w="5645"/>
      </w:tblGrid>
      <w:tr w:rsidR="009660FE" w:rsidRPr="00F92235" w:rsidTr="00886B68">
        <w:trPr>
          <w:trHeight w:val="294"/>
        </w:trPr>
        <w:tc>
          <w:tcPr>
            <w:tcW w:w="9877" w:type="dxa"/>
            <w:gridSpan w:val="2"/>
            <w:shd w:val="clear" w:color="auto" w:fill="auto"/>
          </w:tcPr>
          <w:p w:rsidR="009660FE" w:rsidRPr="00F92235" w:rsidRDefault="0035494D">
            <w:pPr>
              <w:pStyle w:val="TableParagraph"/>
              <w:spacing w:line="272" w:lineRule="exact"/>
              <w:ind w:left="107"/>
              <w:rPr>
                <w:rFonts w:ascii="Arial" w:hAnsi="Arial" w:cs="Arial"/>
                <w:b/>
              </w:rPr>
            </w:pPr>
            <w:r w:rsidRPr="00F92235">
              <w:rPr>
                <w:rFonts w:ascii="Arial" w:hAnsi="Arial" w:cs="Arial"/>
                <w:b/>
              </w:rPr>
              <w:t>1. Project Details</w:t>
            </w:r>
          </w:p>
        </w:tc>
      </w:tr>
      <w:tr w:rsidR="009660FE" w:rsidRPr="00F92235" w:rsidTr="00886B68">
        <w:trPr>
          <w:trHeight w:val="1688"/>
        </w:trPr>
        <w:tc>
          <w:tcPr>
            <w:tcW w:w="4232" w:type="dxa"/>
          </w:tcPr>
          <w:p w:rsidR="009660FE" w:rsidRPr="00F92235" w:rsidRDefault="00192E0A" w:rsidP="00192E0A">
            <w:pPr>
              <w:pStyle w:val="TableParagraph"/>
              <w:spacing w:line="265" w:lineRule="exact"/>
              <w:ind w:left="107"/>
              <w:rPr>
                <w:rFonts w:ascii="Arial" w:hAnsi="Arial" w:cs="Arial"/>
              </w:rPr>
            </w:pPr>
            <w:r w:rsidRPr="00F92235">
              <w:rPr>
                <w:rFonts w:ascii="Arial" w:hAnsi="Arial" w:cs="Arial"/>
              </w:rPr>
              <w:t xml:space="preserve">Name of </w:t>
            </w:r>
            <w:r w:rsidR="006777E0" w:rsidRPr="00F92235">
              <w:rPr>
                <w:rFonts w:ascii="Arial" w:hAnsi="Arial" w:cs="Arial"/>
              </w:rPr>
              <w:t xml:space="preserve">the </w:t>
            </w:r>
            <w:r w:rsidR="009E4E81" w:rsidRPr="00F92235">
              <w:rPr>
                <w:rFonts w:ascii="Arial" w:hAnsi="Arial" w:cs="Arial"/>
              </w:rPr>
              <w:t>policy,</w:t>
            </w:r>
            <w:r w:rsidR="00384AA0" w:rsidRPr="00F92235">
              <w:rPr>
                <w:rFonts w:ascii="Arial" w:hAnsi="Arial" w:cs="Arial"/>
              </w:rPr>
              <w:t xml:space="preserve"> practice, service or</w:t>
            </w:r>
            <w:r w:rsidR="006B101C" w:rsidRPr="00F92235">
              <w:rPr>
                <w:rFonts w:ascii="Arial" w:hAnsi="Arial" w:cs="Arial"/>
              </w:rPr>
              <w:t xml:space="preserve"> function being assessed, and a brief overview of its aims and objectives</w:t>
            </w:r>
          </w:p>
        </w:tc>
        <w:tc>
          <w:tcPr>
            <w:tcW w:w="5644" w:type="dxa"/>
          </w:tcPr>
          <w:p w:rsidR="006B101C" w:rsidRPr="00F92235" w:rsidRDefault="006A1D27" w:rsidP="006A1D27">
            <w:pPr>
              <w:pStyle w:val="TableParagraph"/>
              <w:ind w:left="142" w:right="142"/>
              <w:rPr>
                <w:rFonts w:ascii="Arial" w:hAnsi="Arial" w:cs="Arial"/>
                <w:color w:val="000000" w:themeColor="text1"/>
              </w:rPr>
            </w:pPr>
            <w:r w:rsidRPr="00F92235">
              <w:rPr>
                <w:rFonts w:ascii="Arial" w:hAnsi="Arial" w:cs="Arial"/>
                <w:color w:val="000000" w:themeColor="text1"/>
              </w:rPr>
              <w:t>Provide the name and an overview of whatever it is that you are impact assessing. This will enable other people, internally and externally, to understand the policy, and understand your rationale below for the impact on different protected groups.</w:t>
            </w:r>
          </w:p>
          <w:p w:rsidR="006B101C" w:rsidRPr="00F92235" w:rsidRDefault="006B101C">
            <w:pPr>
              <w:pStyle w:val="TableParagraph"/>
              <w:rPr>
                <w:rFonts w:ascii="Arial" w:hAnsi="Arial" w:cs="Arial"/>
              </w:rPr>
            </w:pPr>
          </w:p>
          <w:p w:rsidR="006B101C" w:rsidRPr="00F92235" w:rsidRDefault="006B101C">
            <w:pPr>
              <w:pStyle w:val="TableParagraph"/>
              <w:rPr>
                <w:rFonts w:ascii="Arial" w:hAnsi="Arial" w:cs="Arial"/>
              </w:rPr>
            </w:pPr>
          </w:p>
        </w:tc>
      </w:tr>
      <w:tr w:rsidR="009660FE" w:rsidRPr="00F92235" w:rsidTr="00886B68">
        <w:trPr>
          <w:trHeight w:val="269"/>
        </w:trPr>
        <w:tc>
          <w:tcPr>
            <w:tcW w:w="4232" w:type="dxa"/>
          </w:tcPr>
          <w:p w:rsidR="009660FE" w:rsidRPr="00F92235" w:rsidRDefault="0035494D">
            <w:pPr>
              <w:pStyle w:val="TableParagraph"/>
              <w:spacing w:line="248" w:lineRule="exact"/>
              <w:ind w:left="107"/>
              <w:rPr>
                <w:rFonts w:ascii="Arial" w:hAnsi="Arial" w:cs="Arial"/>
              </w:rPr>
            </w:pPr>
            <w:r w:rsidRPr="00F92235">
              <w:rPr>
                <w:rFonts w:ascii="Arial" w:hAnsi="Arial" w:cs="Arial"/>
              </w:rPr>
              <w:t>Is it new or existing?</w:t>
            </w:r>
          </w:p>
        </w:tc>
        <w:tc>
          <w:tcPr>
            <w:tcW w:w="5644" w:type="dxa"/>
          </w:tcPr>
          <w:p w:rsidR="009660FE" w:rsidRPr="00F92235" w:rsidRDefault="009660FE" w:rsidP="00B762F7">
            <w:pPr>
              <w:pStyle w:val="TableParagraph"/>
              <w:ind w:left="142" w:right="284"/>
              <w:rPr>
                <w:rFonts w:ascii="Arial" w:hAnsi="Arial" w:cs="Arial"/>
              </w:rPr>
            </w:pPr>
          </w:p>
        </w:tc>
      </w:tr>
      <w:tr w:rsidR="009660FE" w:rsidRPr="00F92235" w:rsidTr="00886B68">
        <w:trPr>
          <w:trHeight w:val="269"/>
        </w:trPr>
        <w:tc>
          <w:tcPr>
            <w:tcW w:w="4232" w:type="dxa"/>
          </w:tcPr>
          <w:p w:rsidR="009660FE" w:rsidRPr="00F92235" w:rsidRDefault="0035494D">
            <w:pPr>
              <w:pStyle w:val="TableParagraph"/>
              <w:spacing w:line="248" w:lineRule="exact"/>
              <w:ind w:left="107"/>
              <w:rPr>
                <w:rFonts w:ascii="Arial" w:hAnsi="Arial" w:cs="Arial"/>
              </w:rPr>
            </w:pPr>
            <w:r w:rsidRPr="00F92235">
              <w:rPr>
                <w:rFonts w:ascii="Arial" w:hAnsi="Arial" w:cs="Arial"/>
              </w:rPr>
              <w:t>Department or Division responsible</w:t>
            </w:r>
          </w:p>
        </w:tc>
        <w:tc>
          <w:tcPr>
            <w:tcW w:w="5644" w:type="dxa"/>
          </w:tcPr>
          <w:p w:rsidR="009660FE" w:rsidRPr="00F92235" w:rsidRDefault="009660FE">
            <w:pPr>
              <w:pStyle w:val="TableParagraph"/>
              <w:rPr>
                <w:rFonts w:ascii="Arial" w:hAnsi="Arial" w:cs="Arial"/>
              </w:rPr>
            </w:pPr>
          </w:p>
        </w:tc>
      </w:tr>
      <w:tr w:rsidR="009660FE" w:rsidRPr="00F92235" w:rsidTr="00886B68">
        <w:trPr>
          <w:trHeight w:val="269"/>
        </w:trPr>
        <w:tc>
          <w:tcPr>
            <w:tcW w:w="4232" w:type="dxa"/>
          </w:tcPr>
          <w:p w:rsidR="009660FE" w:rsidRPr="00F92235" w:rsidRDefault="00B845C0">
            <w:pPr>
              <w:pStyle w:val="TableParagraph"/>
              <w:spacing w:line="248" w:lineRule="exact"/>
              <w:ind w:left="107"/>
              <w:rPr>
                <w:rFonts w:ascii="Arial" w:hAnsi="Arial" w:cs="Arial"/>
              </w:rPr>
            </w:pPr>
            <w:r w:rsidRPr="00F92235">
              <w:rPr>
                <w:rFonts w:ascii="Arial" w:hAnsi="Arial" w:cs="Arial"/>
              </w:rPr>
              <w:t>Who has been involved in completing the EIA</w:t>
            </w:r>
          </w:p>
        </w:tc>
        <w:tc>
          <w:tcPr>
            <w:tcW w:w="5644" w:type="dxa"/>
          </w:tcPr>
          <w:p w:rsidR="009660FE" w:rsidRPr="00F92235" w:rsidRDefault="00B762F7" w:rsidP="00B762F7">
            <w:pPr>
              <w:pStyle w:val="TableParagraph"/>
              <w:ind w:left="142" w:right="284"/>
              <w:rPr>
                <w:rFonts w:ascii="Arial" w:hAnsi="Arial" w:cs="Arial"/>
              </w:rPr>
            </w:pPr>
            <w:r w:rsidRPr="00F92235">
              <w:rPr>
                <w:rFonts w:ascii="Arial" w:hAnsi="Arial" w:cs="Arial"/>
              </w:rPr>
              <w:t xml:space="preserve">Ideally, EIAs should be completed by a group of people, so that you can benefit from the discussion and different ideas and points of view. </w:t>
            </w:r>
          </w:p>
        </w:tc>
      </w:tr>
      <w:tr w:rsidR="009660FE" w:rsidRPr="00F92235" w:rsidTr="00886B68">
        <w:trPr>
          <w:trHeight w:val="269"/>
        </w:trPr>
        <w:tc>
          <w:tcPr>
            <w:tcW w:w="4232" w:type="dxa"/>
          </w:tcPr>
          <w:p w:rsidR="009660FE" w:rsidRPr="00F92235" w:rsidRDefault="0035494D">
            <w:pPr>
              <w:pStyle w:val="TableParagraph"/>
              <w:spacing w:line="248" w:lineRule="exact"/>
              <w:ind w:left="107"/>
              <w:rPr>
                <w:rFonts w:ascii="Arial" w:hAnsi="Arial" w:cs="Arial"/>
              </w:rPr>
            </w:pPr>
            <w:r w:rsidRPr="00F92235">
              <w:rPr>
                <w:rFonts w:ascii="Arial" w:hAnsi="Arial" w:cs="Arial"/>
              </w:rPr>
              <w:t>Date of completion</w:t>
            </w:r>
          </w:p>
        </w:tc>
        <w:tc>
          <w:tcPr>
            <w:tcW w:w="5644" w:type="dxa"/>
          </w:tcPr>
          <w:p w:rsidR="009660FE" w:rsidRPr="00F92235" w:rsidRDefault="009660FE">
            <w:pPr>
              <w:pStyle w:val="TableParagraph"/>
              <w:rPr>
                <w:rFonts w:ascii="Arial" w:hAnsi="Arial" w:cs="Arial"/>
              </w:rPr>
            </w:pPr>
          </w:p>
        </w:tc>
      </w:tr>
    </w:tbl>
    <w:p w:rsidR="009660FE" w:rsidRPr="00F92235" w:rsidRDefault="009660FE">
      <w:pPr>
        <w:pStyle w:val="BodyText"/>
        <w:rPr>
          <w:rFonts w:ascii="Arial" w:hAnsi="Arial" w:cs="Arial"/>
        </w:rPr>
      </w:pPr>
    </w:p>
    <w:p w:rsidR="009660FE" w:rsidRPr="00F92235" w:rsidRDefault="009660FE">
      <w:pPr>
        <w:pStyle w:val="BodyText"/>
        <w:spacing w:before="7"/>
        <w:rPr>
          <w:rFonts w:ascii="Arial" w:hAnsi="Arial" w:cs="Arial"/>
        </w:rPr>
      </w:pPr>
    </w:p>
    <w:tbl>
      <w:tblPr>
        <w:tblW w:w="9878" w:type="dxa"/>
        <w:tblInd w:w="-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9878"/>
      </w:tblGrid>
      <w:tr w:rsidR="009660FE" w:rsidRPr="00F92235" w:rsidTr="00886B68">
        <w:trPr>
          <w:trHeight w:val="304"/>
        </w:trPr>
        <w:tc>
          <w:tcPr>
            <w:tcW w:w="9878" w:type="dxa"/>
            <w:shd w:val="clear" w:color="auto" w:fill="auto"/>
          </w:tcPr>
          <w:p w:rsidR="009660FE" w:rsidRPr="00F92235" w:rsidRDefault="006B101C">
            <w:pPr>
              <w:pStyle w:val="TableParagraph"/>
              <w:spacing w:line="272" w:lineRule="exact"/>
              <w:ind w:left="141"/>
              <w:rPr>
                <w:rFonts w:ascii="Arial" w:hAnsi="Arial" w:cs="Arial"/>
                <w:b/>
              </w:rPr>
            </w:pPr>
            <w:r w:rsidRPr="00F92235">
              <w:rPr>
                <w:rFonts w:ascii="Arial" w:hAnsi="Arial" w:cs="Arial"/>
                <w:b/>
              </w:rPr>
              <w:t>2</w:t>
            </w:r>
            <w:r w:rsidR="0035494D" w:rsidRPr="00F92235">
              <w:rPr>
                <w:rFonts w:ascii="Arial" w:hAnsi="Arial" w:cs="Arial"/>
                <w:b/>
              </w:rPr>
              <w:t>. Evidence Gathering and Engagement</w:t>
            </w:r>
          </w:p>
        </w:tc>
      </w:tr>
      <w:tr w:rsidR="009660FE" w:rsidRPr="00F92235" w:rsidTr="00886B68">
        <w:trPr>
          <w:trHeight w:val="1399"/>
        </w:trPr>
        <w:tc>
          <w:tcPr>
            <w:tcW w:w="9878" w:type="dxa"/>
          </w:tcPr>
          <w:p w:rsidR="00B07673" w:rsidRPr="00F92235" w:rsidRDefault="0035494D" w:rsidP="00B07673">
            <w:pPr>
              <w:pStyle w:val="TableParagraph"/>
              <w:numPr>
                <w:ilvl w:val="0"/>
                <w:numId w:val="13"/>
              </w:numPr>
              <w:spacing w:before="1" w:line="237" w:lineRule="auto"/>
              <w:ind w:right="137"/>
              <w:rPr>
                <w:rFonts w:ascii="Arial" w:hAnsi="Arial" w:cs="Arial"/>
              </w:rPr>
            </w:pPr>
            <w:r w:rsidRPr="00F92235">
              <w:rPr>
                <w:rFonts w:ascii="Arial" w:hAnsi="Arial" w:cs="Arial"/>
              </w:rPr>
              <w:t xml:space="preserve">What </w:t>
            </w:r>
            <w:r w:rsidRPr="00F92235">
              <w:rPr>
                <w:rFonts w:ascii="Arial" w:hAnsi="Arial" w:cs="Arial"/>
                <w:b/>
              </w:rPr>
              <w:t xml:space="preserve">evidence </w:t>
            </w:r>
            <w:r w:rsidRPr="00F92235">
              <w:rPr>
                <w:rFonts w:ascii="Arial" w:hAnsi="Arial" w:cs="Arial"/>
              </w:rPr>
              <w:t xml:space="preserve">has been used for this assessment? </w:t>
            </w:r>
          </w:p>
          <w:p w:rsidR="00B07673" w:rsidRPr="00F92235" w:rsidRDefault="00B07673" w:rsidP="00B07673">
            <w:pPr>
              <w:pStyle w:val="TableParagraph"/>
              <w:spacing w:before="1" w:line="237" w:lineRule="auto"/>
              <w:ind w:left="107" w:right="137"/>
              <w:rPr>
                <w:rFonts w:ascii="Arial" w:hAnsi="Arial" w:cs="Arial"/>
              </w:rPr>
            </w:pPr>
          </w:p>
          <w:p w:rsidR="009660FE" w:rsidRPr="00F92235" w:rsidRDefault="00B845C0" w:rsidP="00B07673">
            <w:pPr>
              <w:pStyle w:val="TableParagraph"/>
              <w:spacing w:before="1" w:line="237" w:lineRule="auto"/>
              <w:ind w:left="107" w:right="137"/>
              <w:rPr>
                <w:rFonts w:ascii="Arial" w:hAnsi="Arial" w:cs="Arial"/>
              </w:rPr>
            </w:pPr>
            <w:r w:rsidRPr="00F92235">
              <w:rPr>
                <w:rFonts w:ascii="Arial" w:hAnsi="Arial" w:cs="Arial"/>
              </w:rPr>
              <w:t xml:space="preserve">For example, national statistics, LSE statistics, </w:t>
            </w:r>
            <w:r w:rsidR="00B07673" w:rsidRPr="00F92235">
              <w:rPr>
                <w:rFonts w:ascii="Arial" w:hAnsi="Arial" w:cs="Arial"/>
              </w:rPr>
              <w:t>feedback forms, staff surveys, course evaluations, NSS, PIRLS, focus groups, interviews, exit interviews.</w:t>
            </w:r>
          </w:p>
          <w:p w:rsidR="00B07673" w:rsidRPr="00F92235" w:rsidRDefault="00B07673" w:rsidP="00B07673">
            <w:pPr>
              <w:pStyle w:val="TableParagraph"/>
              <w:spacing w:before="1" w:line="237" w:lineRule="auto"/>
              <w:ind w:left="107" w:right="137"/>
              <w:rPr>
                <w:rFonts w:ascii="Arial" w:hAnsi="Arial" w:cs="Arial"/>
              </w:rPr>
            </w:pPr>
          </w:p>
          <w:p w:rsidR="00B07673" w:rsidRPr="00F92235" w:rsidRDefault="00B07673" w:rsidP="00B07673">
            <w:pPr>
              <w:pStyle w:val="TableParagraph"/>
              <w:spacing w:before="1" w:line="237" w:lineRule="auto"/>
              <w:ind w:left="107" w:right="137"/>
              <w:rPr>
                <w:rFonts w:ascii="Arial" w:hAnsi="Arial" w:cs="Arial"/>
              </w:rPr>
            </w:pPr>
            <w:r w:rsidRPr="00F92235">
              <w:rPr>
                <w:rFonts w:ascii="Arial" w:hAnsi="Arial" w:cs="Arial"/>
              </w:rPr>
              <w:t xml:space="preserve">It is also worth considering anecdotal evidence in the first instance. While you are unlikely to base </w:t>
            </w:r>
          </w:p>
          <w:p w:rsidR="006B101C" w:rsidRPr="00F92235" w:rsidRDefault="006B101C" w:rsidP="00B07673">
            <w:pPr>
              <w:pStyle w:val="TableParagraph"/>
              <w:spacing w:before="1" w:line="237" w:lineRule="auto"/>
              <w:ind w:right="137"/>
              <w:rPr>
                <w:rFonts w:ascii="Arial" w:hAnsi="Arial" w:cs="Arial"/>
                <w:i/>
              </w:rPr>
            </w:pPr>
          </w:p>
        </w:tc>
      </w:tr>
      <w:tr w:rsidR="001263DB" w:rsidRPr="00F92235" w:rsidTr="00886B68">
        <w:trPr>
          <w:trHeight w:val="1399"/>
        </w:trPr>
        <w:tc>
          <w:tcPr>
            <w:tcW w:w="9878" w:type="dxa"/>
          </w:tcPr>
          <w:p w:rsidR="001263DB" w:rsidRPr="00F92235" w:rsidRDefault="001263DB" w:rsidP="00B845C0">
            <w:pPr>
              <w:pStyle w:val="TableParagraph"/>
              <w:spacing w:before="1" w:line="237" w:lineRule="auto"/>
              <w:ind w:left="424" w:right="137" w:hanging="317"/>
              <w:rPr>
                <w:rFonts w:ascii="Arial" w:hAnsi="Arial" w:cs="Arial"/>
              </w:rPr>
            </w:pPr>
            <w:r w:rsidRPr="00F92235">
              <w:rPr>
                <w:rFonts w:ascii="Arial" w:hAnsi="Arial" w:cs="Arial"/>
              </w:rPr>
              <w:t xml:space="preserve">b. Who have you </w:t>
            </w:r>
            <w:r w:rsidRPr="00F92235">
              <w:rPr>
                <w:rFonts w:ascii="Arial" w:hAnsi="Arial" w:cs="Arial"/>
                <w:b/>
              </w:rPr>
              <w:t xml:space="preserve">engaged and consulted with </w:t>
            </w:r>
            <w:r w:rsidRPr="00F92235">
              <w:rPr>
                <w:rFonts w:ascii="Arial" w:hAnsi="Arial" w:cs="Arial"/>
              </w:rPr>
              <w:t>as part of your assessment?</w:t>
            </w:r>
          </w:p>
          <w:p w:rsidR="00B762F7" w:rsidRPr="00F92235" w:rsidRDefault="00B762F7" w:rsidP="00B845C0">
            <w:pPr>
              <w:pStyle w:val="TableParagraph"/>
              <w:spacing w:before="1" w:line="237" w:lineRule="auto"/>
              <w:ind w:left="424" w:right="137" w:hanging="317"/>
              <w:rPr>
                <w:rFonts w:ascii="Arial" w:hAnsi="Arial" w:cs="Arial"/>
              </w:rPr>
            </w:pPr>
          </w:p>
          <w:p w:rsidR="00AD7807" w:rsidRPr="00F92235" w:rsidRDefault="00B762F7" w:rsidP="004A2028">
            <w:pPr>
              <w:pStyle w:val="TableParagraph"/>
              <w:spacing w:before="1" w:line="237" w:lineRule="auto"/>
              <w:ind w:left="284" w:right="137"/>
              <w:rPr>
                <w:rFonts w:ascii="Arial" w:hAnsi="Arial" w:cs="Arial"/>
              </w:rPr>
            </w:pPr>
            <w:r w:rsidRPr="00F92235">
              <w:rPr>
                <w:rFonts w:ascii="Arial" w:hAnsi="Arial" w:cs="Arial"/>
              </w:rPr>
              <w:t xml:space="preserve">Engaging and consulting with different groups of staff and students can be really important. You will probably find that you already have a lot of information through the data identified above. </w:t>
            </w:r>
          </w:p>
          <w:p w:rsidR="00AD7807" w:rsidRPr="00F92235" w:rsidRDefault="00AD7807" w:rsidP="004A2028">
            <w:pPr>
              <w:pStyle w:val="TableParagraph"/>
              <w:spacing w:before="1" w:line="237" w:lineRule="auto"/>
              <w:ind w:left="284" w:right="137"/>
              <w:rPr>
                <w:rFonts w:ascii="Arial" w:hAnsi="Arial" w:cs="Arial"/>
              </w:rPr>
            </w:pPr>
          </w:p>
          <w:p w:rsidR="00B762F7" w:rsidRPr="00F92235" w:rsidRDefault="00B762F7" w:rsidP="004A2028">
            <w:pPr>
              <w:pStyle w:val="TableParagraph"/>
              <w:spacing w:before="1" w:line="237" w:lineRule="auto"/>
              <w:ind w:left="284" w:right="137"/>
              <w:rPr>
                <w:rFonts w:ascii="Arial" w:hAnsi="Arial" w:cs="Arial"/>
              </w:rPr>
            </w:pPr>
            <w:r w:rsidRPr="00F92235">
              <w:rPr>
                <w:rFonts w:ascii="Arial" w:hAnsi="Arial" w:cs="Arial"/>
              </w:rPr>
              <w:t xml:space="preserve">For big policies and functions, and those that you know have significant equality and diversity considerations, you may want to plan additional forms of engagement, to get wider feedback on the implications of the policy, and also to </w:t>
            </w:r>
            <w:r w:rsidR="00AD7807" w:rsidRPr="00F92235">
              <w:rPr>
                <w:rFonts w:ascii="Arial" w:hAnsi="Arial" w:cs="Arial"/>
              </w:rPr>
              <w:t xml:space="preserve">plan ways to proactively advance equality, diversity and inclusion wherever possible. </w:t>
            </w:r>
          </w:p>
        </w:tc>
      </w:tr>
    </w:tbl>
    <w:p w:rsidR="009660FE" w:rsidRPr="00F92235" w:rsidRDefault="009660FE">
      <w:pPr>
        <w:spacing w:line="237" w:lineRule="auto"/>
        <w:rPr>
          <w:rFonts w:ascii="Arial" w:hAnsi="Arial" w:cs="Arial"/>
        </w:rPr>
        <w:sectPr w:rsidR="009660FE" w:rsidRPr="00F92235" w:rsidSect="00F92235">
          <w:headerReference w:type="default" r:id="rId11"/>
          <w:footerReference w:type="default" r:id="rId12"/>
          <w:type w:val="continuous"/>
          <w:pgSz w:w="11907" w:h="16839" w:code="9"/>
          <w:pgMar w:top="1440" w:right="1440" w:bottom="1440" w:left="1440" w:header="340" w:footer="976" w:gutter="0"/>
          <w:pgNumType w:start="1"/>
          <w:cols w:space="720"/>
          <w:docGrid w:linePitch="299"/>
        </w:sectPr>
      </w:pPr>
    </w:p>
    <w:p w:rsidR="009660FE" w:rsidRPr="00F92235" w:rsidRDefault="009660FE">
      <w:pPr>
        <w:pStyle w:val="BodyText"/>
        <w:spacing w:before="7"/>
        <w:rPr>
          <w:rFonts w:ascii="Arial" w:hAnsi="Arial" w:cs="Arial"/>
        </w:rPr>
      </w:pPr>
    </w:p>
    <w:tbl>
      <w:tblPr>
        <w:tblW w:w="96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886"/>
        <w:gridCol w:w="6737"/>
      </w:tblGrid>
      <w:tr w:rsidR="0085222C" w:rsidRPr="00F92235" w:rsidTr="00886B68">
        <w:trPr>
          <w:trHeight w:val="534"/>
        </w:trPr>
        <w:tc>
          <w:tcPr>
            <w:tcW w:w="9623" w:type="dxa"/>
            <w:gridSpan w:val="2"/>
          </w:tcPr>
          <w:p w:rsidR="0085222C" w:rsidRPr="00F92235" w:rsidRDefault="0085222C" w:rsidP="00F375AB">
            <w:pPr>
              <w:pStyle w:val="TableParagraph"/>
              <w:spacing w:line="249" w:lineRule="exact"/>
              <w:ind w:left="108"/>
              <w:rPr>
                <w:rFonts w:ascii="Arial" w:hAnsi="Arial" w:cs="Arial"/>
                <w:b/>
              </w:rPr>
            </w:pPr>
            <w:r w:rsidRPr="00F92235">
              <w:rPr>
                <w:rFonts w:ascii="Arial" w:hAnsi="Arial" w:cs="Arial"/>
                <w:b/>
              </w:rPr>
              <w:t>3. Impact on different groups of staff and students</w:t>
            </w:r>
          </w:p>
        </w:tc>
      </w:tr>
      <w:tr w:rsidR="00B845C0" w:rsidRPr="00F92235" w:rsidTr="001F4254">
        <w:trPr>
          <w:trHeight w:val="534"/>
        </w:trPr>
        <w:tc>
          <w:tcPr>
            <w:tcW w:w="2886" w:type="dxa"/>
          </w:tcPr>
          <w:p w:rsidR="00B845C0" w:rsidRPr="00F92235" w:rsidRDefault="00066740" w:rsidP="00F375AB">
            <w:pPr>
              <w:pStyle w:val="TableParagraph"/>
              <w:ind w:left="108"/>
              <w:rPr>
                <w:rFonts w:ascii="Arial" w:hAnsi="Arial" w:cs="Arial"/>
                <w:b/>
              </w:rPr>
            </w:pPr>
            <w:r w:rsidRPr="00F92235">
              <w:rPr>
                <w:rFonts w:ascii="Arial" w:hAnsi="Arial" w:cs="Arial"/>
                <w:b/>
              </w:rPr>
              <w:t>Specific groups to consider</w:t>
            </w:r>
            <w:r w:rsidR="003162CF" w:rsidRPr="00F92235">
              <w:rPr>
                <w:rStyle w:val="FootnoteReference"/>
                <w:rFonts w:ascii="Arial" w:hAnsi="Arial" w:cs="Arial"/>
                <w:b/>
              </w:rPr>
              <w:footnoteReference w:id="1"/>
            </w:r>
          </w:p>
        </w:tc>
        <w:tc>
          <w:tcPr>
            <w:tcW w:w="6737" w:type="dxa"/>
          </w:tcPr>
          <w:p w:rsidR="00B845C0" w:rsidRPr="00F92235" w:rsidRDefault="007C6EB4" w:rsidP="00F375AB">
            <w:pPr>
              <w:pStyle w:val="TableParagraph"/>
              <w:spacing w:line="249" w:lineRule="exact"/>
              <w:ind w:left="108"/>
              <w:rPr>
                <w:rFonts w:ascii="Arial" w:hAnsi="Arial" w:cs="Arial"/>
                <w:b/>
              </w:rPr>
            </w:pPr>
            <w:r w:rsidRPr="00F92235">
              <w:rPr>
                <w:rFonts w:ascii="Arial" w:hAnsi="Arial" w:cs="Arial"/>
                <w:b/>
              </w:rPr>
              <w:t>Potential impact</w:t>
            </w:r>
            <w:r w:rsidR="001263DB" w:rsidRPr="00F92235">
              <w:rPr>
                <w:rFonts w:ascii="Arial" w:hAnsi="Arial" w:cs="Arial"/>
                <w:b/>
              </w:rPr>
              <w:t xml:space="preserve"> on this group of staff and students and actions taken to mitigate impact and advance equality, diversity and inclusion</w:t>
            </w:r>
            <w:r w:rsidR="00D124E7" w:rsidRPr="00F92235">
              <w:rPr>
                <w:rStyle w:val="FootnoteReference"/>
                <w:rFonts w:ascii="Arial" w:hAnsi="Arial" w:cs="Arial"/>
                <w:b/>
              </w:rPr>
              <w:footnoteReference w:id="2"/>
            </w:r>
          </w:p>
          <w:p w:rsidR="00D124E7" w:rsidRPr="00F92235" w:rsidRDefault="00D124E7" w:rsidP="00F375AB">
            <w:pPr>
              <w:pStyle w:val="TableParagraph"/>
              <w:spacing w:line="249" w:lineRule="exact"/>
              <w:ind w:left="108"/>
              <w:rPr>
                <w:rFonts w:ascii="Arial" w:hAnsi="Arial" w:cs="Arial"/>
                <w:b/>
              </w:rPr>
            </w:pPr>
          </w:p>
        </w:tc>
      </w:tr>
      <w:tr w:rsidR="00C90907" w:rsidRPr="00F92235" w:rsidTr="001F4254">
        <w:trPr>
          <w:trHeight w:val="534"/>
        </w:trPr>
        <w:tc>
          <w:tcPr>
            <w:tcW w:w="2886" w:type="dxa"/>
          </w:tcPr>
          <w:p w:rsidR="00C90907" w:rsidRPr="00F92235" w:rsidRDefault="00C90907" w:rsidP="00F375AB">
            <w:pPr>
              <w:pStyle w:val="TableParagraph"/>
              <w:ind w:left="108"/>
              <w:rPr>
                <w:rFonts w:ascii="Arial" w:hAnsi="Arial" w:cs="Arial"/>
                <w:b/>
              </w:rPr>
            </w:pPr>
            <w:r w:rsidRPr="00F92235">
              <w:rPr>
                <w:rFonts w:ascii="Arial" w:hAnsi="Arial" w:cs="Arial"/>
                <w:b/>
              </w:rPr>
              <w:t>General considerations:</w:t>
            </w:r>
          </w:p>
        </w:tc>
        <w:tc>
          <w:tcPr>
            <w:tcW w:w="6737" w:type="dxa"/>
          </w:tcPr>
          <w:p w:rsidR="008F5CD5" w:rsidRPr="00F92235" w:rsidRDefault="008F5CD5" w:rsidP="00B72845">
            <w:pPr>
              <w:pStyle w:val="ListParagraph"/>
              <w:widowControl/>
              <w:numPr>
                <w:ilvl w:val="0"/>
                <w:numId w:val="15"/>
              </w:numPr>
              <w:autoSpaceDE/>
              <w:autoSpaceDN/>
              <w:contextualSpacing/>
              <w:rPr>
                <w:rFonts w:ascii="Arial" w:hAnsi="Arial" w:cs="Arial"/>
              </w:rPr>
            </w:pPr>
            <w:r w:rsidRPr="00F92235">
              <w:rPr>
                <w:rFonts w:ascii="Arial" w:hAnsi="Arial" w:cs="Arial"/>
              </w:rPr>
              <w:t>Inequalities are not necessarily overt and obvious, they can be subtle, small, everyday micro inequalities. Small changes in how we work, teach and research</w:t>
            </w:r>
            <w:r w:rsidR="00681635" w:rsidRPr="00F92235">
              <w:rPr>
                <w:rFonts w:ascii="Arial" w:hAnsi="Arial" w:cs="Arial"/>
              </w:rPr>
              <w:t xml:space="preserve"> can potentially make a significant positive</w:t>
            </w:r>
            <w:r w:rsidRPr="00F92235">
              <w:rPr>
                <w:rFonts w:ascii="Arial" w:hAnsi="Arial" w:cs="Arial"/>
              </w:rPr>
              <w:t xml:space="preserve"> change.</w:t>
            </w:r>
          </w:p>
          <w:p w:rsidR="008F5CD5" w:rsidRPr="00F92235" w:rsidRDefault="008F5CD5" w:rsidP="00B72845">
            <w:pPr>
              <w:pStyle w:val="ListParagraph"/>
              <w:widowControl/>
              <w:numPr>
                <w:ilvl w:val="0"/>
                <w:numId w:val="15"/>
              </w:numPr>
              <w:autoSpaceDE/>
              <w:autoSpaceDN/>
              <w:contextualSpacing/>
              <w:rPr>
                <w:rFonts w:ascii="Arial" w:hAnsi="Arial" w:cs="Arial"/>
              </w:rPr>
            </w:pPr>
            <w:r w:rsidRPr="00F92235">
              <w:rPr>
                <w:rFonts w:ascii="Arial" w:hAnsi="Arial" w:cs="Arial"/>
              </w:rPr>
              <w:t>Inequalities may not be intentional, but they can still have a significant impact</w:t>
            </w:r>
            <w:r w:rsidR="00F03056" w:rsidRPr="00F92235">
              <w:rPr>
                <w:rFonts w:ascii="Arial" w:hAnsi="Arial" w:cs="Arial"/>
              </w:rPr>
              <w:t xml:space="preserve"> and need to be addressed</w:t>
            </w:r>
            <w:r w:rsidRPr="00F92235">
              <w:rPr>
                <w:rFonts w:ascii="Arial" w:hAnsi="Arial" w:cs="Arial"/>
              </w:rPr>
              <w:t>.</w:t>
            </w:r>
          </w:p>
          <w:p w:rsidR="00F03056" w:rsidRPr="00F92235" w:rsidRDefault="00F03056" w:rsidP="00B72845">
            <w:pPr>
              <w:pStyle w:val="ListParagraph"/>
              <w:widowControl/>
              <w:numPr>
                <w:ilvl w:val="0"/>
                <w:numId w:val="15"/>
              </w:numPr>
              <w:autoSpaceDE/>
              <w:autoSpaceDN/>
              <w:contextualSpacing/>
              <w:rPr>
                <w:rFonts w:ascii="Arial" w:hAnsi="Arial" w:cs="Arial"/>
              </w:rPr>
            </w:pPr>
            <w:r w:rsidRPr="00F92235">
              <w:rPr>
                <w:rFonts w:ascii="Arial" w:hAnsi="Arial" w:cs="Arial"/>
              </w:rPr>
              <w:t>In considering and addressing inequalities we need to ensure we are focused on changing our policies, processes, functions and services, and avoid taking a ‘deficit’ approach where we position the issues with the individuals, and somehow fixing them to fit in.</w:t>
            </w:r>
          </w:p>
          <w:p w:rsidR="007333B4" w:rsidRPr="00F92235" w:rsidRDefault="008F5CD5" w:rsidP="00B72845">
            <w:pPr>
              <w:pStyle w:val="ListParagraph"/>
              <w:widowControl/>
              <w:numPr>
                <w:ilvl w:val="0"/>
                <w:numId w:val="15"/>
              </w:numPr>
              <w:autoSpaceDE/>
              <w:autoSpaceDN/>
              <w:contextualSpacing/>
              <w:rPr>
                <w:rFonts w:ascii="Arial" w:hAnsi="Arial" w:cs="Arial"/>
              </w:rPr>
            </w:pPr>
            <w:r w:rsidRPr="00F92235">
              <w:rPr>
                <w:rFonts w:ascii="Arial" w:hAnsi="Arial" w:cs="Arial"/>
              </w:rPr>
              <w:t>Ensuring staff and students feel a sense of belonging</w:t>
            </w:r>
            <w:r w:rsidR="007333B4" w:rsidRPr="00F92235">
              <w:rPr>
                <w:rFonts w:ascii="Arial" w:hAnsi="Arial" w:cs="Arial"/>
              </w:rPr>
              <w:t xml:space="preserve"> to LSE is important.</w:t>
            </w:r>
            <w:r w:rsidR="001752C5" w:rsidRPr="00F92235">
              <w:rPr>
                <w:rFonts w:ascii="Arial" w:hAnsi="Arial" w:cs="Arial"/>
              </w:rPr>
              <w:t xml:space="preserve"> An audit of images</w:t>
            </w:r>
            <w:r w:rsidR="007333B4" w:rsidRPr="00F92235">
              <w:rPr>
                <w:rFonts w:ascii="Arial" w:hAnsi="Arial" w:cs="Arial"/>
              </w:rPr>
              <w:t xml:space="preserve"> and case studies used in publications, webpages, teaching is useful, as well as consideration of the physical environment. </w:t>
            </w:r>
          </w:p>
          <w:p w:rsidR="009829B6" w:rsidRPr="00F92235" w:rsidRDefault="00C90907" w:rsidP="00B72845">
            <w:pPr>
              <w:pStyle w:val="ListParagraph"/>
              <w:widowControl/>
              <w:numPr>
                <w:ilvl w:val="0"/>
                <w:numId w:val="15"/>
              </w:numPr>
              <w:autoSpaceDE/>
              <w:autoSpaceDN/>
              <w:contextualSpacing/>
              <w:rPr>
                <w:rFonts w:ascii="Arial" w:hAnsi="Arial" w:cs="Arial"/>
              </w:rPr>
            </w:pPr>
            <w:r w:rsidRPr="00F92235">
              <w:rPr>
                <w:rFonts w:ascii="Arial" w:hAnsi="Arial" w:cs="Arial"/>
              </w:rPr>
              <w:t>Evidence across the sector suggests that different</w:t>
            </w:r>
            <w:r w:rsidR="008F5CD5" w:rsidRPr="00F92235">
              <w:rPr>
                <w:rFonts w:ascii="Arial" w:hAnsi="Arial" w:cs="Arial"/>
              </w:rPr>
              <w:t xml:space="preserve"> staff and</w:t>
            </w:r>
            <w:r w:rsidRPr="00F92235">
              <w:rPr>
                <w:rFonts w:ascii="Arial" w:hAnsi="Arial" w:cs="Arial"/>
              </w:rPr>
              <w:t xml:space="preserve"> students request and access</w:t>
            </w:r>
            <w:r w:rsidR="002B020D" w:rsidRPr="00F92235">
              <w:rPr>
                <w:rFonts w:ascii="Arial" w:hAnsi="Arial" w:cs="Arial"/>
              </w:rPr>
              <w:t xml:space="preserve"> services and</w:t>
            </w:r>
            <w:r w:rsidRPr="00F92235">
              <w:rPr>
                <w:rFonts w:ascii="Arial" w:hAnsi="Arial" w:cs="Arial"/>
              </w:rPr>
              <w:t xml:space="preserve"> support in different ways. There is also evidence that across the sector, different groups of </w:t>
            </w:r>
            <w:r w:rsidR="008F5CD5" w:rsidRPr="00F92235">
              <w:rPr>
                <w:rFonts w:ascii="Arial" w:hAnsi="Arial" w:cs="Arial"/>
              </w:rPr>
              <w:t xml:space="preserve">staff and </w:t>
            </w:r>
            <w:r w:rsidRPr="00F92235">
              <w:rPr>
                <w:rFonts w:ascii="Arial" w:hAnsi="Arial" w:cs="Arial"/>
              </w:rPr>
              <w:t xml:space="preserve">students receive different levels of </w:t>
            </w:r>
            <w:r w:rsidR="009706DE" w:rsidRPr="00F92235">
              <w:rPr>
                <w:rFonts w:ascii="Arial" w:hAnsi="Arial" w:cs="Arial"/>
              </w:rPr>
              <w:t>proactive</w:t>
            </w:r>
            <w:r w:rsidR="00F03056" w:rsidRPr="00F92235">
              <w:rPr>
                <w:rFonts w:ascii="Arial" w:hAnsi="Arial" w:cs="Arial"/>
              </w:rPr>
              <w:t>,</w:t>
            </w:r>
            <w:r w:rsidR="009706DE" w:rsidRPr="00F92235">
              <w:rPr>
                <w:rFonts w:ascii="Arial" w:hAnsi="Arial" w:cs="Arial"/>
              </w:rPr>
              <w:t xml:space="preserve"> </w:t>
            </w:r>
            <w:r w:rsidR="00F03056" w:rsidRPr="00F92235">
              <w:rPr>
                <w:rFonts w:ascii="Arial" w:hAnsi="Arial" w:cs="Arial"/>
              </w:rPr>
              <w:t xml:space="preserve">informal </w:t>
            </w:r>
            <w:r w:rsidRPr="00F92235">
              <w:rPr>
                <w:rFonts w:ascii="Arial" w:hAnsi="Arial" w:cs="Arial"/>
              </w:rPr>
              <w:t>support.</w:t>
            </w:r>
            <w:r w:rsidR="001752C5" w:rsidRPr="00F92235">
              <w:rPr>
                <w:rFonts w:ascii="Arial" w:hAnsi="Arial" w:cs="Arial"/>
              </w:rPr>
              <w:t xml:space="preserve"> </w:t>
            </w:r>
            <w:r w:rsidRPr="00F92235">
              <w:rPr>
                <w:rFonts w:ascii="Arial" w:hAnsi="Arial" w:cs="Arial"/>
              </w:rPr>
              <w:t>We need to know if this happen</w:t>
            </w:r>
            <w:r w:rsidR="009706DE" w:rsidRPr="00F92235">
              <w:rPr>
                <w:rFonts w:ascii="Arial" w:hAnsi="Arial" w:cs="Arial"/>
              </w:rPr>
              <w:t xml:space="preserve">s at LSE and how we can </w:t>
            </w:r>
            <w:r w:rsidRPr="00F92235">
              <w:rPr>
                <w:rFonts w:ascii="Arial" w:hAnsi="Arial" w:cs="Arial"/>
              </w:rPr>
              <w:t>advance equality, diversity and inclusion.</w:t>
            </w:r>
          </w:p>
        </w:tc>
      </w:tr>
      <w:tr w:rsidR="007E6C18" w:rsidRPr="00F92235" w:rsidTr="001F4254">
        <w:trPr>
          <w:trHeight w:val="270"/>
        </w:trPr>
        <w:tc>
          <w:tcPr>
            <w:tcW w:w="2886" w:type="dxa"/>
          </w:tcPr>
          <w:p w:rsidR="003E3254" w:rsidRPr="003E3254" w:rsidRDefault="003E3254" w:rsidP="00F375AB">
            <w:pPr>
              <w:pStyle w:val="TableParagraph"/>
              <w:spacing w:before="120" w:after="120" w:line="240" w:lineRule="atLeast"/>
              <w:ind w:left="108"/>
              <w:rPr>
                <w:rFonts w:ascii="Arial" w:hAnsi="Arial" w:cs="Arial"/>
                <w:b/>
              </w:rPr>
            </w:pPr>
            <w:r w:rsidRPr="003E3254">
              <w:rPr>
                <w:rFonts w:ascii="Arial" w:hAnsi="Arial" w:cs="Arial"/>
                <w:b/>
              </w:rPr>
              <w:t>Age</w:t>
            </w:r>
          </w:p>
          <w:p w:rsidR="007E6C18" w:rsidRDefault="007E6C18" w:rsidP="00F375AB">
            <w:pPr>
              <w:pStyle w:val="TableParagraph"/>
              <w:spacing w:before="120" w:after="120" w:line="240" w:lineRule="atLeast"/>
              <w:ind w:left="108"/>
              <w:rPr>
                <w:rFonts w:ascii="Arial" w:hAnsi="Arial" w:cs="Arial"/>
              </w:rPr>
            </w:pPr>
            <w:r w:rsidRPr="00F92235">
              <w:rPr>
                <w:rFonts w:ascii="Arial" w:hAnsi="Arial" w:cs="Arial"/>
              </w:rPr>
              <w:t>Staff and students of different ages</w:t>
            </w:r>
          </w:p>
          <w:p w:rsidR="003E3254" w:rsidRPr="00F92235" w:rsidRDefault="003E3254" w:rsidP="003E3254">
            <w:pPr>
              <w:pStyle w:val="TableParagraph"/>
              <w:spacing w:before="120" w:after="120" w:line="240" w:lineRule="atLeast"/>
              <w:rPr>
                <w:rFonts w:ascii="Arial" w:hAnsi="Arial" w:cs="Arial"/>
              </w:rPr>
            </w:pPr>
          </w:p>
        </w:tc>
        <w:tc>
          <w:tcPr>
            <w:tcW w:w="6737" w:type="dxa"/>
          </w:tcPr>
          <w:p w:rsidR="001317A5" w:rsidRPr="00F92235" w:rsidRDefault="00AD7807" w:rsidP="00B72845">
            <w:pPr>
              <w:pStyle w:val="TableParagraph"/>
              <w:numPr>
                <w:ilvl w:val="0"/>
                <w:numId w:val="16"/>
              </w:numPr>
              <w:ind w:left="678"/>
              <w:rPr>
                <w:rFonts w:ascii="Arial" w:hAnsi="Arial" w:cs="Arial"/>
              </w:rPr>
            </w:pPr>
            <w:r w:rsidRPr="00F92235">
              <w:rPr>
                <w:rFonts w:ascii="Arial" w:hAnsi="Arial" w:cs="Arial"/>
              </w:rPr>
              <w:t>Nationally, there has been a decline in the proportion of mature students st</w:t>
            </w:r>
            <w:r w:rsidR="007F1407" w:rsidRPr="00F92235">
              <w:rPr>
                <w:rFonts w:ascii="Arial" w:hAnsi="Arial" w:cs="Arial"/>
              </w:rPr>
              <w:t>udying in higher education. C</w:t>
            </w:r>
            <w:r w:rsidR="007C2165" w:rsidRPr="00F92235">
              <w:rPr>
                <w:rFonts w:ascii="Arial" w:hAnsi="Arial" w:cs="Arial"/>
              </w:rPr>
              <w:t>onsidering LSE’s provision</w:t>
            </w:r>
            <w:r w:rsidR="007F1407" w:rsidRPr="00F92235">
              <w:rPr>
                <w:rFonts w:ascii="Arial" w:hAnsi="Arial" w:cs="Arial"/>
              </w:rPr>
              <w:t xml:space="preserve"> to</w:t>
            </w:r>
            <w:r w:rsidR="007C2165" w:rsidRPr="00F92235">
              <w:rPr>
                <w:rFonts w:ascii="Arial" w:hAnsi="Arial" w:cs="Arial"/>
              </w:rPr>
              <w:t xml:space="preserve"> and relationship with mature students is important, in addition to considering the needs of younger students, particularly in programmes such as the Summer School.</w:t>
            </w:r>
          </w:p>
          <w:p w:rsidR="007C2165" w:rsidRPr="00F92235" w:rsidRDefault="007C2165" w:rsidP="00B72845">
            <w:pPr>
              <w:pStyle w:val="TableParagraph"/>
              <w:numPr>
                <w:ilvl w:val="0"/>
                <w:numId w:val="16"/>
              </w:numPr>
              <w:ind w:left="678"/>
              <w:rPr>
                <w:rFonts w:ascii="Arial" w:hAnsi="Arial" w:cs="Arial"/>
              </w:rPr>
            </w:pPr>
            <w:r w:rsidRPr="00F92235">
              <w:rPr>
                <w:rFonts w:ascii="Arial" w:hAnsi="Arial" w:cs="Arial"/>
              </w:rPr>
              <w:t>For staff, there has been a lot of debate about the default retirement age in higher education, and whether its removal prevents the younger generation of academics from progressing.</w:t>
            </w:r>
          </w:p>
          <w:p w:rsidR="007F1407" w:rsidRPr="00F92235" w:rsidRDefault="007F1407" w:rsidP="00B72845">
            <w:pPr>
              <w:pStyle w:val="TableParagraph"/>
              <w:numPr>
                <w:ilvl w:val="0"/>
                <w:numId w:val="16"/>
              </w:numPr>
              <w:ind w:left="678"/>
              <w:rPr>
                <w:rFonts w:ascii="Arial" w:hAnsi="Arial" w:cs="Arial"/>
              </w:rPr>
            </w:pPr>
            <w:r w:rsidRPr="00F92235">
              <w:rPr>
                <w:rFonts w:ascii="Arial" w:hAnsi="Arial" w:cs="Arial"/>
              </w:rPr>
              <w:t>Perceptions of older and younger people can also be influenced by stereotypes which may impact our behaviours and decision making towards them.</w:t>
            </w:r>
          </w:p>
        </w:tc>
      </w:tr>
      <w:tr w:rsidR="001F4254" w:rsidRPr="00F92235" w:rsidTr="001F4254">
        <w:trPr>
          <w:trHeight w:val="270"/>
        </w:trPr>
        <w:tc>
          <w:tcPr>
            <w:tcW w:w="2886" w:type="dxa"/>
          </w:tcPr>
          <w:p w:rsidR="001F4254" w:rsidRPr="003E3254" w:rsidRDefault="001F4254" w:rsidP="001F4254">
            <w:pPr>
              <w:pStyle w:val="TableParagraph"/>
              <w:spacing w:before="120" w:after="120" w:line="240" w:lineRule="atLeast"/>
              <w:ind w:left="108"/>
              <w:rPr>
                <w:rFonts w:ascii="Arial" w:hAnsi="Arial" w:cs="Arial"/>
                <w:b/>
              </w:rPr>
            </w:pPr>
            <w:r w:rsidRPr="003E3254">
              <w:rPr>
                <w:rFonts w:ascii="Arial" w:hAnsi="Arial" w:cs="Arial"/>
                <w:b/>
              </w:rPr>
              <w:t>Disability</w:t>
            </w:r>
          </w:p>
          <w:p w:rsidR="001F4254" w:rsidRPr="003E3254" w:rsidRDefault="001F4254" w:rsidP="001F4254">
            <w:pPr>
              <w:pStyle w:val="TableParagraph"/>
              <w:spacing w:before="120" w:after="120" w:line="240" w:lineRule="atLeast"/>
              <w:ind w:left="108"/>
              <w:rPr>
                <w:rFonts w:ascii="Arial" w:hAnsi="Arial" w:cs="Arial"/>
                <w:b/>
              </w:rPr>
            </w:pPr>
            <w:r w:rsidRPr="00F92235">
              <w:rPr>
                <w:rFonts w:ascii="Arial" w:hAnsi="Arial" w:cs="Arial"/>
              </w:rPr>
              <w:t>Disabled staff and students, including those with mental health issues.</w:t>
            </w:r>
          </w:p>
        </w:tc>
        <w:tc>
          <w:tcPr>
            <w:tcW w:w="6737" w:type="dxa"/>
          </w:tcPr>
          <w:p w:rsidR="001F4254" w:rsidRPr="00F92235" w:rsidRDefault="001F4254" w:rsidP="001F4254">
            <w:pPr>
              <w:pStyle w:val="TableParagraph"/>
              <w:numPr>
                <w:ilvl w:val="0"/>
                <w:numId w:val="19"/>
              </w:numPr>
              <w:ind w:left="678"/>
              <w:rPr>
                <w:rFonts w:ascii="Arial" w:hAnsi="Arial" w:cs="Arial"/>
              </w:rPr>
            </w:pPr>
            <w:r w:rsidRPr="00F92235">
              <w:rPr>
                <w:rFonts w:ascii="Arial" w:hAnsi="Arial" w:cs="Arial"/>
              </w:rPr>
              <w:t>LSE follows the affirmative model of disability, and is committed to ensuring disabled staff and students are not disadvantaged physically or through stereotypes and medical model perceptions.</w:t>
            </w:r>
          </w:p>
          <w:p w:rsidR="001F4254" w:rsidRPr="00F92235" w:rsidRDefault="001F4254" w:rsidP="001F4254">
            <w:pPr>
              <w:pStyle w:val="TableParagraph"/>
              <w:numPr>
                <w:ilvl w:val="0"/>
                <w:numId w:val="19"/>
              </w:numPr>
              <w:ind w:left="678"/>
              <w:rPr>
                <w:rFonts w:ascii="Arial" w:hAnsi="Arial" w:cs="Arial"/>
              </w:rPr>
            </w:pPr>
            <w:r w:rsidRPr="00F92235">
              <w:rPr>
                <w:rFonts w:ascii="Arial" w:hAnsi="Arial" w:cs="Arial"/>
              </w:rPr>
              <w:t xml:space="preserve">National data used to show (before the changes to funding) that disabled students who accessed the Disabled Students </w:t>
            </w:r>
            <w:r w:rsidRPr="00F92235">
              <w:rPr>
                <w:rFonts w:ascii="Arial" w:hAnsi="Arial" w:cs="Arial"/>
              </w:rPr>
              <w:lastRenderedPageBreak/>
              <w:t>Allowance, had higher success rates than those who did not. In collaboration with Student Services, we need to ensure that support for disabled students is embedded within academic practice wherever possible, especially given our progress in recruiting disabled students (3.1% in 2007 increasing to 5.2% in 2015, according to the latest Access Agreement).</w:t>
            </w:r>
          </w:p>
          <w:p w:rsidR="001F4254" w:rsidRPr="00F92235" w:rsidRDefault="001F4254" w:rsidP="001F4254">
            <w:pPr>
              <w:pStyle w:val="TableParagraph"/>
              <w:numPr>
                <w:ilvl w:val="0"/>
                <w:numId w:val="19"/>
              </w:numPr>
              <w:ind w:left="678"/>
              <w:rPr>
                <w:rFonts w:ascii="Arial" w:hAnsi="Arial" w:cs="Arial"/>
              </w:rPr>
            </w:pPr>
            <w:r w:rsidRPr="00F92235">
              <w:rPr>
                <w:rFonts w:ascii="Arial" w:hAnsi="Arial" w:cs="Arial"/>
              </w:rPr>
              <w:t>IT systems can be the most useful and the most frustrating area for disabled staff and students. It’s important that we understand the limitations and enablers of our systems to ensure no staff and student groups are disadvantaged, and to ensure that the systems are used to advance equality, diversity and inclusion as far as possible.</w:t>
            </w:r>
          </w:p>
          <w:p w:rsidR="001F4254" w:rsidRPr="00F92235" w:rsidRDefault="001F4254" w:rsidP="001F4254">
            <w:pPr>
              <w:pStyle w:val="TableParagraph"/>
              <w:numPr>
                <w:ilvl w:val="0"/>
                <w:numId w:val="19"/>
              </w:numPr>
              <w:ind w:left="678"/>
              <w:rPr>
                <w:rFonts w:ascii="Arial" w:hAnsi="Arial" w:cs="Arial"/>
              </w:rPr>
            </w:pPr>
            <w:r w:rsidRPr="00F92235">
              <w:rPr>
                <w:rFonts w:ascii="Arial" w:hAnsi="Arial" w:cs="Arial"/>
              </w:rPr>
              <w:t>Ensuring communications methods are accessible is also important, for example, having subtitles on videos, ensuring uploaded documents are compatible with screen reader software and images are captioned.</w:t>
            </w:r>
          </w:p>
          <w:p w:rsidR="001F4254" w:rsidRPr="00F92235" w:rsidRDefault="001F4254" w:rsidP="001F4254">
            <w:pPr>
              <w:pStyle w:val="TableParagraph"/>
              <w:numPr>
                <w:ilvl w:val="0"/>
                <w:numId w:val="19"/>
              </w:numPr>
              <w:ind w:left="678"/>
              <w:rPr>
                <w:rFonts w:ascii="Arial" w:hAnsi="Arial" w:cs="Arial"/>
              </w:rPr>
            </w:pPr>
            <w:r w:rsidRPr="00F92235">
              <w:rPr>
                <w:rFonts w:ascii="Arial" w:hAnsi="Arial" w:cs="Arial"/>
              </w:rPr>
              <w:t>The physical environment is hugely important to fostering a sense of belonging. Ensuring that rooms and buildings are accessible, and that accessibility information is always up-to-date and easily available can create a much more inclusive environment for disabled staff and students.</w:t>
            </w:r>
          </w:p>
          <w:p w:rsidR="001F4254" w:rsidRPr="00F92235" w:rsidRDefault="001F4254" w:rsidP="001F4254">
            <w:pPr>
              <w:pStyle w:val="TableParagraph"/>
              <w:numPr>
                <w:ilvl w:val="0"/>
                <w:numId w:val="19"/>
              </w:numPr>
              <w:ind w:left="678"/>
              <w:rPr>
                <w:rFonts w:ascii="Arial" w:hAnsi="Arial" w:cs="Arial"/>
              </w:rPr>
            </w:pPr>
            <w:r w:rsidRPr="00F92235">
              <w:rPr>
                <w:rFonts w:ascii="Arial" w:hAnsi="Arial" w:cs="Arial"/>
              </w:rPr>
              <w:t>Following the above, having room accessibility information in the room bookings system can be helpful, and considering how long it might take to travel between buildings may help academics with mobility impairments in travelling between lectures and this should also be considered in timetabling.</w:t>
            </w:r>
          </w:p>
          <w:p w:rsidR="001F4254" w:rsidRPr="00F92235" w:rsidRDefault="001F4254" w:rsidP="001F4254">
            <w:pPr>
              <w:pStyle w:val="TableParagraph"/>
              <w:numPr>
                <w:ilvl w:val="0"/>
                <w:numId w:val="19"/>
              </w:numPr>
              <w:ind w:left="678"/>
              <w:rPr>
                <w:rFonts w:ascii="Arial" w:hAnsi="Arial" w:cs="Arial"/>
              </w:rPr>
            </w:pPr>
            <w:r w:rsidRPr="00F92235">
              <w:rPr>
                <w:rFonts w:ascii="Arial" w:hAnsi="Arial" w:cs="Arial"/>
              </w:rPr>
              <w:t>Equality, diversity and inclusion are vital in events planning. Considering the accessibility of venues, joining instructions, diversity of speakers and panellists needs to be embedded into every event the School hosts.</w:t>
            </w:r>
          </w:p>
          <w:p w:rsidR="001F4254" w:rsidRPr="00F92235" w:rsidRDefault="001F4254" w:rsidP="001F4254">
            <w:pPr>
              <w:pStyle w:val="TableParagraph"/>
              <w:numPr>
                <w:ilvl w:val="0"/>
                <w:numId w:val="19"/>
              </w:numPr>
              <w:ind w:left="678"/>
              <w:rPr>
                <w:rFonts w:ascii="Arial" w:hAnsi="Arial" w:cs="Arial"/>
              </w:rPr>
            </w:pPr>
            <w:r w:rsidRPr="00F92235">
              <w:rPr>
                <w:rFonts w:ascii="Arial" w:hAnsi="Arial" w:cs="Arial"/>
              </w:rPr>
              <w:t xml:space="preserve">Reminding event organisers to proactively ask attendees about any access and dietary requirements needs to be embedded. Support could include information on and costs of, pale typists, hearing induction loops, ramps to get onto stages </w:t>
            </w:r>
            <w:r>
              <w:rPr>
                <w:rFonts w:ascii="Arial" w:hAnsi="Arial" w:cs="Arial"/>
              </w:rPr>
              <w:t>etc</w:t>
            </w:r>
            <w:r w:rsidRPr="00F92235">
              <w:rPr>
                <w:rFonts w:ascii="Arial" w:hAnsi="Arial" w:cs="Arial"/>
              </w:rPr>
              <w:t>…</w:t>
            </w:r>
          </w:p>
          <w:p w:rsidR="001F4254" w:rsidRPr="00F92235" w:rsidRDefault="001F4254" w:rsidP="001F4254">
            <w:pPr>
              <w:pStyle w:val="TableParagraph"/>
              <w:numPr>
                <w:ilvl w:val="0"/>
                <w:numId w:val="19"/>
              </w:numPr>
              <w:ind w:left="678"/>
              <w:rPr>
                <w:rFonts w:ascii="Arial" w:hAnsi="Arial" w:cs="Arial"/>
              </w:rPr>
            </w:pPr>
            <w:r w:rsidRPr="00F92235">
              <w:rPr>
                <w:rFonts w:ascii="Arial" w:hAnsi="Arial" w:cs="Arial"/>
              </w:rPr>
              <w:t xml:space="preserve">Providing new and innovative teaching and learning spaces is great, and things like lecture recording can make a huge difference for all students, especially some disabled students. </w:t>
            </w:r>
          </w:p>
          <w:p w:rsidR="001F4254" w:rsidRPr="00F92235" w:rsidRDefault="001F4254" w:rsidP="001F4254">
            <w:pPr>
              <w:pStyle w:val="TableParagraph"/>
              <w:numPr>
                <w:ilvl w:val="0"/>
                <w:numId w:val="19"/>
              </w:numPr>
              <w:ind w:left="678"/>
              <w:rPr>
                <w:rFonts w:ascii="Arial" w:hAnsi="Arial" w:cs="Arial"/>
              </w:rPr>
            </w:pPr>
            <w:r w:rsidRPr="00F92235">
              <w:rPr>
                <w:rFonts w:ascii="Arial" w:hAnsi="Arial" w:cs="Arial"/>
              </w:rPr>
              <w:t>It is important to ensure that staff know where to go to request reasonable adjustments and feel comfortable accessing support. For an EIA, it would be useful to have feedback from staff to understand their satisfaction.</w:t>
            </w:r>
          </w:p>
          <w:p w:rsidR="001F4254" w:rsidRPr="00F92235" w:rsidRDefault="001F4254" w:rsidP="001F4254">
            <w:pPr>
              <w:pStyle w:val="TableParagraph"/>
              <w:ind w:left="678" w:hanging="360"/>
              <w:rPr>
                <w:rFonts w:ascii="Arial" w:hAnsi="Arial" w:cs="Arial"/>
              </w:rPr>
            </w:pPr>
          </w:p>
        </w:tc>
      </w:tr>
      <w:tr w:rsidR="001F4254" w:rsidRPr="00F92235" w:rsidTr="001F4254">
        <w:trPr>
          <w:trHeight w:val="270"/>
        </w:trPr>
        <w:tc>
          <w:tcPr>
            <w:tcW w:w="2886" w:type="dxa"/>
          </w:tcPr>
          <w:p w:rsidR="001F4254" w:rsidRPr="003E3254" w:rsidRDefault="001F4254" w:rsidP="001F4254">
            <w:pPr>
              <w:pStyle w:val="TableParagraph"/>
              <w:spacing w:before="120" w:after="120" w:line="240" w:lineRule="atLeast"/>
              <w:ind w:left="108"/>
              <w:rPr>
                <w:rFonts w:ascii="Arial" w:hAnsi="Arial" w:cs="Arial"/>
                <w:b/>
              </w:rPr>
            </w:pPr>
            <w:r w:rsidRPr="003E3254">
              <w:rPr>
                <w:rFonts w:ascii="Arial" w:hAnsi="Arial" w:cs="Arial"/>
                <w:b/>
              </w:rPr>
              <w:lastRenderedPageBreak/>
              <w:t>Gender reassignment</w:t>
            </w:r>
          </w:p>
          <w:p w:rsidR="001F4254" w:rsidRPr="00F92235" w:rsidRDefault="001F4254" w:rsidP="001F4254">
            <w:pPr>
              <w:pStyle w:val="TableParagraph"/>
              <w:spacing w:before="120" w:after="120" w:line="240" w:lineRule="atLeast"/>
              <w:ind w:left="108"/>
              <w:rPr>
                <w:rFonts w:ascii="Arial" w:hAnsi="Arial" w:cs="Arial"/>
              </w:rPr>
            </w:pPr>
            <w:r w:rsidRPr="00F92235">
              <w:rPr>
                <w:rFonts w:ascii="Arial" w:hAnsi="Arial" w:cs="Arial"/>
              </w:rPr>
              <w:t>Trans staff and students, and non-binary staff and students</w:t>
            </w:r>
          </w:p>
        </w:tc>
        <w:tc>
          <w:tcPr>
            <w:tcW w:w="6737" w:type="dxa"/>
          </w:tcPr>
          <w:p w:rsidR="001F4254" w:rsidRPr="00F92235" w:rsidRDefault="001F4254" w:rsidP="001F4254">
            <w:pPr>
              <w:pStyle w:val="TableParagraph"/>
              <w:numPr>
                <w:ilvl w:val="0"/>
                <w:numId w:val="18"/>
              </w:numPr>
              <w:ind w:left="678"/>
              <w:rPr>
                <w:rFonts w:ascii="Arial" w:hAnsi="Arial" w:cs="Arial"/>
              </w:rPr>
            </w:pPr>
            <w:r w:rsidRPr="00F92235">
              <w:rPr>
                <w:rFonts w:ascii="Arial" w:hAnsi="Arial" w:cs="Arial"/>
              </w:rPr>
              <w:t>Staff and students who have transitioned (i.e. they live in a different gender to the one they were assigned at birth), are transitioning, or are thinking of transitioning need support and understanding from their cis gender colleagues (i.e. colleagues who continue to live in the gender they were assigned at birth).</w:t>
            </w:r>
          </w:p>
          <w:p w:rsidR="001F4254" w:rsidRPr="00F92235" w:rsidRDefault="001F4254" w:rsidP="001F4254">
            <w:pPr>
              <w:pStyle w:val="TableParagraph"/>
              <w:numPr>
                <w:ilvl w:val="0"/>
                <w:numId w:val="18"/>
              </w:numPr>
              <w:ind w:left="678"/>
              <w:rPr>
                <w:rFonts w:ascii="Arial" w:hAnsi="Arial" w:cs="Arial"/>
              </w:rPr>
            </w:pPr>
            <w:r w:rsidRPr="00F92235">
              <w:rPr>
                <w:rFonts w:ascii="Arial" w:hAnsi="Arial" w:cs="Arial"/>
              </w:rPr>
              <w:t xml:space="preserve">Considering the provision of gender-neutral toilets, gender neutral pronouns when unsure of someone’s preferred pronouns and raising awareness of these considerations are </w:t>
            </w:r>
            <w:r w:rsidRPr="00F92235">
              <w:rPr>
                <w:rFonts w:ascii="Arial" w:hAnsi="Arial" w:cs="Arial"/>
              </w:rPr>
              <w:lastRenderedPageBreak/>
              <w:t>all important.</w:t>
            </w:r>
          </w:p>
          <w:p w:rsidR="001F4254" w:rsidRPr="00F92235" w:rsidRDefault="001F4254" w:rsidP="001F4254">
            <w:pPr>
              <w:pStyle w:val="TableParagraph"/>
              <w:numPr>
                <w:ilvl w:val="0"/>
                <w:numId w:val="18"/>
              </w:numPr>
              <w:ind w:left="678"/>
              <w:rPr>
                <w:rFonts w:ascii="Arial" w:hAnsi="Arial" w:cs="Arial"/>
              </w:rPr>
            </w:pPr>
            <w:r w:rsidRPr="00F92235">
              <w:rPr>
                <w:rFonts w:ascii="Arial" w:hAnsi="Arial" w:cs="Arial"/>
              </w:rPr>
              <w:t>Line Managers/team leaders will also want to ensure staff transitioning are supporting in attending relevant appointments and in what and how information is communicated to colleagues.</w:t>
            </w:r>
          </w:p>
        </w:tc>
      </w:tr>
      <w:tr w:rsidR="001F4254" w:rsidRPr="00F92235" w:rsidTr="001F4254">
        <w:trPr>
          <w:trHeight w:val="270"/>
        </w:trPr>
        <w:tc>
          <w:tcPr>
            <w:tcW w:w="2886" w:type="dxa"/>
          </w:tcPr>
          <w:p w:rsidR="001F4254" w:rsidRDefault="001F4254" w:rsidP="001F4254">
            <w:pPr>
              <w:pStyle w:val="TableParagraph"/>
              <w:spacing w:before="120" w:after="120" w:line="240" w:lineRule="atLeast"/>
              <w:ind w:left="108"/>
              <w:rPr>
                <w:rFonts w:ascii="Arial" w:hAnsi="Arial" w:cs="Arial"/>
                <w:b/>
              </w:rPr>
            </w:pPr>
            <w:r>
              <w:rPr>
                <w:rFonts w:ascii="Arial" w:hAnsi="Arial" w:cs="Arial"/>
                <w:b/>
              </w:rPr>
              <w:lastRenderedPageBreak/>
              <w:t>Marriage and civil partnership</w:t>
            </w:r>
          </w:p>
          <w:p w:rsidR="001F4254" w:rsidRPr="003E3254" w:rsidRDefault="001F4254" w:rsidP="001F4254">
            <w:pPr>
              <w:pStyle w:val="TableParagraph"/>
              <w:spacing w:before="120" w:after="120" w:line="240" w:lineRule="atLeast"/>
              <w:ind w:left="108"/>
              <w:rPr>
                <w:rFonts w:ascii="Arial" w:hAnsi="Arial" w:cs="Arial"/>
                <w:b/>
              </w:rPr>
            </w:pPr>
            <w:r w:rsidRPr="0023438B">
              <w:rPr>
                <w:rFonts w:ascii="Arial" w:hAnsi="Arial" w:cs="Arial"/>
                <w:color w:val="000000"/>
                <w:shd w:val="clear" w:color="auto" w:fill="FFFFFF"/>
              </w:rPr>
              <w:t>A person has the protected characteristic of marriage and civil partnership if the person is married or is a civil partner.</w:t>
            </w:r>
          </w:p>
        </w:tc>
        <w:tc>
          <w:tcPr>
            <w:tcW w:w="6737" w:type="dxa"/>
          </w:tcPr>
          <w:p w:rsidR="001F4254" w:rsidRPr="00F92235" w:rsidRDefault="00AF4639" w:rsidP="001F4254">
            <w:pPr>
              <w:pStyle w:val="TableParagraph"/>
              <w:numPr>
                <w:ilvl w:val="0"/>
                <w:numId w:val="16"/>
              </w:numPr>
              <w:ind w:left="678"/>
              <w:rPr>
                <w:rFonts w:ascii="Arial" w:hAnsi="Arial" w:cs="Arial"/>
              </w:rPr>
            </w:pPr>
            <w:r>
              <w:rPr>
                <w:rFonts w:ascii="Arial" w:hAnsi="Arial" w:cs="Arial"/>
              </w:rPr>
              <w:t>T</w:t>
            </w:r>
            <w:r w:rsidRPr="006228CB">
              <w:rPr>
                <w:rFonts w:ascii="Arial" w:hAnsi="Arial" w:cs="Arial"/>
              </w:rPr>
              <w:t>here is a requirement to consider marriage and civil partnership. We anticipate these considerations being reasonably specific to certain HR policies (of which HR are aware)</w:t>
            </w:r>
            <w:r>
              <w:rPr>
                <w:rFonts w:ascii="Arial" w:hAnsi="Arial" w:cs="Arial"/>
              </w:rPr>
              <w:t>.</w:t>
            </w:r>
          </w:p>
        </w:tc>
      </w:tr>
      <w:tr w:rsidR="001F4254" w:rsidRPr="00F92235" w:rsidTr="001F4254">
        <w:trPr>
          <w:trHeight w:val="270"/>
        </w:trPr>
        <w:tc>
          <w:tcPr>
            <w:tcW w:w="2886" w:type="dxa"/>
          </w:tcPr>
          <w:p w:rsidR="001F4254" w:rsidRPr="003E3254" w:rsidRDefault="001F4254" w:rsidP="001F4254">
            <w:pPr>
              <w:pStyle w:val="TableParagraph"/>
              <w:spacing w:before="120" w:after="120" w:line="240" w:lineRule="atLeast"/>
              <w:ind w:left="108"/>
              <w:rPr>
                <w:rFonts w:ascii="Arial" w:hAnsi="Arial" w:cs="Arial"/>
                <w:b/>
              </w:rPr>
            </w:pPr>
            <w:r>
              <w:rPr>
                <w:rFonts w:ascii="Arial" w:hAnsi="Arial" w:cs="Arial"/>
                <w:b/>
              </w:rPr>
              <w:t>Pregnancy and maternity</w:t>
            </w:r>
          </w:p>
        </w:tc>
        <w:tc>
          <w:tcPr>
            <w:tcW w:w="6737" w:type="dxa"/>
          </w:tcPr>
          <w:p w:rsidR="001F4254" w:rsidRDefault="00AF4639" w:rsidP="001F4254">
            <w:pPr>
              <w:pStyle w:val="TableParagraph"/>
              <w:numPr>
                <w:ilvl w:val="0"/>
                <w:numId w:val="16"/>
              </w:numPr>
              <w:ind w:left="678"/>
              <w:rPr>
                <w:rFonts w:ascii="Arial" w:hAnsi="Arial" w:cs="Arial"/>
              </w:rPr>
            </w:pPr>
            <w:r w:rsidRPr="00F92235">
              <w:rPr>
                <w:rFonts w:ascii="Arial" w:hAnsi="Arial" w:cs="Arial"/>
              </w:rPr>
              <w:t>Maternity and adoption leave can have a negative impact on women’s studies and careers, as can part time working. Women may need facilities to breastfeed and store milk following a period of maternity leave.</w:t>
            </w:r>
          </w:p>
          <w:p w:rsidR="000B4AF0" w:rsidRPr="00F92235" w:rsidRDefault="000B4AF0" w:rsidP="001F4254">
            <w:pPr>
              <w:pStyle w:val="TableParagraph"/>
              <w:numPr>
                <w:ilvl w:val="0"/>
                <w:numId w:val="16"/>
              </w:numPr>
              <w:ind w:left="678"/>
              <w:rPr>
                <w:rFonts w:ascii="Arial" w:hAnsi="Arial" w:cs="Arial"/>
              </w:rPr>
            </w:pPr>
            <w:r w:rsidRPr="00F92235">
              <w:rPr>
                <w:rFonts w:ascii="Arial" w:hAnsi="Arial" w:cs="Arial"/>
              </w:rPr>
              <w:t>Meetings and events should be scheduled within core hours wherever possible, and avoiding school holidays (as well as religious festivals) wherever they can.</w:t>
            </w:r>
          </w:p>
        </w:tc>
      </w:tr>
      <w:tr w:rsidR="001F4254" w:rsidRPr="00F92235" w:rsidTr="001F4254">
        <w:trPr>
          <w:trHeight w:val="270"/>
        </w:trPr>
        <w:tc>
          <w:tcPr>
            <w:tcW w:w="2886" w:type="dxa"/>
          </w:tcPr>
          <w:p w:rsidR="001F4254" w:rsidRPr="003E3254" w:rsidRDefault="001F4254" w:rsidP="001F4254">
            <w:pPr>
              <w:pStyle w:val="TableParagraph"/>
              <w:spacing w:before="120" w:after="120" w:line="240" w:lineRule="atLeast"/>
              <w:ind w:left="108"/>
              <w:rPr>
                <w:rFonts w:ascii="Arial" w:hAnsi="Arial" w:cs="Arial"/>
                <w:b/>
              </w:rPr>
            </w:pPr>
            <w:r w:rsidRPr="003E3254">
              <w:rPr>
                <w:rFonts w:ascii="Arial" w:hAnsi="Arial" w:cs="Arial"/>
                <w:b/>
              </w:rPr>
              <w:t xml:space="preserve">Race </w:t>
            </w:r>
          </w:p>
          <w:p w:rsidR="001F4254" w:rsidRPr="00F92235" w:rsidRDefault="001F4254" w:rsidP="001F4254">
            <w:pPr>
              <w:pStyle w:val="TableParagraph"/>
              <w:spacing w:before="120" w:after="120" w:line="240" w:lineRule="atLeast"/>
              <w:ind w:left="108"/>
              <w:rPr>
                <w:rFonts w:ascii="Arial" w:hAnsi="Arial" w:cs="Arial"/>
              </w:rPr>
            </w:pPr>
            <w:r w:rsidRPr="00F92235">
              <w:rPr>
                <w:rFonts w:ascii="Arial" w:hAnsi="Arial" w:cs="Arial"/>
              </w:rPr>
              <w:t>Staff and students from minority ethnic backgrounds and international staff and students</w:t>
            </w:r>
          </w:p>
        </w:tc>
        <w:tc>
          <w:tcPr>
            <w:tcW w:w="6737" w:type="dxa"/>
          </w:tcPr>
          <w:p w:rsidR="001F4254" w:rsidRPr="00F92235" w:rsidRDefault="001F4254" w:rsidP="001F4254">
            <w:pPr>
              <w:pStyle w:val="ListParagraph"/>
              <w:widowControl/>
              <w:numPr>
                <w:ilvl w:val="0"/>
                <w:numId w:val="12"/>
              </w:numPr>
              <w:autoSpaceDE/>
              <w:autoSpaceDN/>
              <w:ind w:left="678"/>
              <w:contextualSpacing/>
              <w:rPr>
                <w:rFonts w:ascii="Arial" w:hAnsi="Arial" w:cs="Arial"/>
              </w:rPr>
            </w:pPr>
            <w:r w:rsidRPr="00F92235">
              <w:rPr>
                <w:rFonts w:ascii="Arial" w:hAnsi="Arial" w:cs="Arial"/>
              </w:rPr>
              <w:t>There is a wealth of research and information on the everyday racial micro aggressions that BAME staff and students face on a daily basis, and the bias they experience due to stereotypes and white privilege.</w:t>
            </w:r>
          </w:p>
          <w:p w:rsidR="001F4254" w:rsidRPr="00F92235" w:rsidRDefault="001F4254" w:rsidP="001F4254">
            <w:pPr>
              <w:pStyle w:val="ListParagraph"/>
              <w:widowControl/>
              <w:numPr>
                <w:ilvl w:val="0"/>
                <w:numId w:val="12"/>
              </w:numPr>
              <w:autoSpaceDE/>
              <w:autoSpaceDN/>
              <w:ind w:left="678"/>
              <w:contextualSpacing/>
              <w:rPr>
                <w:rFonts w:ascii="Arial" w:hAnsi="Arial" w:cs="Arial"/>
              </w:rPr>
            </w:pPr>
            <w:r w:rsidRPr="00F92235">
              <w:rPr>
                <w:rFonts w:ascii="Arial" w:hAnsi="Arial" w:cs="Arial"/>
              </w:rPr>
              <w:t>Nationally, BAME staff are more likely to consider moving abroad to advance their academic careers than their white peers, due to racial discrimination they face in the UK.</w:t>
            </w:r>
          </w:p>
          <w:p w:rsidR="001F4254" w:rsidRPr="00F92235" w:rsidRDefault="001F4254" w:rsidP="001F4254">
            <w:pPr>
              <w:pStyle w:val="ListParagraph"/>
              <w:widowControl/>
              <w:numPr>
                <w:ilvl w:val="0"/>
                <w:numId w:val="12"/>
              </w:numPr>
              <w:autoSpaceDE/>
              <w:autoSpaceDN/>
              <w:ind w:left="678"/>
              <w:contextualSpacing/>
              <w:rPr>
                <w:rFonts w:ascii="Arial" w:hAnsi="Arial" w:cs="Arial"/>
              </w:rPr>
            </w:pPr>
            <w:r w:rsidRPr="00F92235">
              <w:rPr>
                <w:rFonts w:ascii="Arial" w:hAnsi="Arial" w:cs="Arial"/>
              </w:rPr>
              <w:t>BAME staff are underrepresented overall, and particularly in senior roles. We need to ensure our processes are transparent, that everyone has equal access to development opportunities and that encouragement, advice, and informal mentoring and sponsorship are proactively given to all staff, regardless of their ethnicity.</w:t>
            </w:r>
          </w:p>
          <w:p w:rsidR="001F4254" w:rsidRPr="00F92235" w:rsidRDefault="001F4254" w:rsidP="001F4254">
            <w:pPr>
              <w:pStyle w:val="ListParagraph"/>
              <w:widowControl/>
              <w:numPr>
                <w:ilvl w:val="0"/>
                <w:numId w:val="12"/>
              </w:numPr>
              <w:autoSpaceDE/>
              <w:autoSpaceDN/>
              <w:ind w:left="678"/>
              <w:contextualSpacing/>
              <w:rPr>
                <w:rStyle w:val="Hyperlink"/>
                <w:rFonts w:ascii="Arial" w:hAnsi="Arial" w:cs="Arial"/>
                <w:color w:val="auto"/>
                <w:u w:val="none"/>
              </w:rPr>
            </w:pPr>
            <w:r w:rsidRPr="00F92235">
              <w:rPr>
                <w:rFonts w:ascii="Arial" w:hAnsi="Arial" w:cs="Arial"/>
              </w:rPr>
              <w:t>We know that there are significant differences in degree awarding rates by ethnicity. Many Universities are working with their academics to consider reviews of curriculum content and pedagogical practice, and LSE is developing the Inclusive Education Action Plan to advance this work.</w:t>
            </w:r>
          </w:p>
          <w:p w:rsidR="001F4254" w:rsidRPr="00F92235" w:rsidRDefault="001F4254" w:rsidP="001F4254">
            <w:pPr>
              <w:pStyle w:val="ListParagraph"/>
              <w:widowControl/>
              <w:numPr>
                <w:ilvl w:val="0"/>
                <w:numId w:val="12"/>
              </w:numPr>
              <w:autoSpaceDE/>
              <w:autoSpaceDN/>
              <w:ind w:left="678"/>
              <w:contextualSpacing/>
              <w:rPr>
                <w:rFonts w:ascii="Arial" w:hAnsi="Arial" w:cs="Arial"/>
              </w:rPr>
            </w:pPr>
            <w:r w:rsidRPr="00F92235">
              <w:rPr>
                <w:rFonts w:ascii="Arial" w:hAnsi="Arial" w:cs="Arial"/>
              </w:rPr>
              <w:t>The ethnic diversity of LSE students decreases from undergraduate, to PGT to PGR.</w:t>
            </w:r>
          </w:p>
          <w:p w:rsidR="001F4254" w:rsidRPr="00F92235" w:rsidRDefault="001F4254" w:rsidP="001F4254">
            <w:pPr>
              <w:pStyle w:val="ListParagraph"/>
              <w:widowControl/>
              <w:numPr>
                <w:ilvl w:val="0"/>
                <w:numId w:val="12"/>
              </w:numPr>
              <w:autoSpaceDE/>
              <w:autoSpaceDN/>
              <w:ind w:left="678"/>
              <w:contextualSpacing/>
              <w:rPr>
                <w:rFonts w:ascii="Arial" w:hAnsi="Arial" w:cs="Arial"/>
              </w:rPr>
            </w:pPr>
            <w:r w:rsidRPr="00F92235">
              <w:rPr>
                <w:rFonts w:ascii="Arial" w:hAnsi="Arial" w:cs="Arial"/>
              </w:rPr>
              <w:t xml:space="preserve">The latest LSE access agreement shows a drop-off for Black applicants from application to acceptance, which may need to be explored further to better understand and address.  </w:t>
            </w:r>
          </w:p>
          <w:p w:rsidR="001F4254" w:rsidRPr="00F92235" w:rsidRDefault="001F4254" w:rsidP="001F4254">
            <w:pPr>
              <w:pStyle w:val="ListParagraph"/>
              <w:widowControl/>
              <w:numPr>
                <w:ilvl w:val="0"/>
                <w:numId w:val="12"/>
              </w:numPr>
              <w:autoSpaceDE/>
              <w:autoSpaceDN/>
              <w:ind w:left="678"/>
              <w:contextualSpacing/>
              <w:rPr>
                <w:rFonts w:ascii="Arial" w:hAnsi="Arial" w:cs="Arial"/>
              </w:rPr>
            </w:pPr>
            <w:r w:rsidRPr="00F92235">
              <w:rPr>
                <w:rFonts w:ascii="Arial" w:hAnsi="Arial" w:cs="Arial"/>
              </w:rPr>
              <w:t>Nationally, there are stark differences in graduate employment rates with minority ethnic graduates being less likely to be in professional employment 6 months after graduation. The careers advice we provide to students could consider strategies and mechanisms for supporting students prepare for this.</w:t>
            </w:r>
          </w:p>
        </w:tc>
      </w:tr>
      <w:tr w:rsidR="001F4254" w:rsidRPr="00F92235" w:rsidTr="001F4254">
        <w:trPr>
          <w:trHeight w:val="270"/>
        </w:trPr>
        <w:tc>
          <w:tcPr>
            <w:tcW w:w="2886" w:type="dxa"/>
          </w:tcPr>
          <w:p w:rsidR="001F4254" w:rsidRPr="003E3254" w:rsidRDefault="001F4254" w:rsidP="001F4254">
            <w:pPr>
              <w:pStyle w:val="TableParagraph"/>
              <w:spacing w:before="120" w:after="120" w:line="240" w:lineRule="atLeast"/>
              <w:ind w:left="108"/>
              <w:rPr>
                <w:rFonts w:ascii="Arial" w:hAnsi="Arial" w:cs="Arial"/>
                <w:b/>
              </w:rPr>
            </w:pPr>
            <w:r w:rsidRPr="003E3254">
              <w:rPr>
                <w:rFonts w:ascii="Arial" w:hAnsi="Arial" w:cs="Arial"/>
                <w:b/>
              </w:rPr>
              <w:t>Religion or belief</w:t>
            </w:r>
          </w:p>
          <w:p w:rsidR="001F4254" w:rsidRPr="00F92235" w:rsidRDefault="001F4254" w:rsidP="001F4254">
            <w:pPr>
              <w:pStyle w:val="TableParagraph"/>
              <w:spacing w:before="120" w:after="120" w:line="240" w:lineRule="atLeast"/>
              <w:ind w:left="108"/>
              <w:rPr>
                <w:rFonts w:ascii="Arial" w:hAnsi="Arial" w:cs="Arial"/>
              </w:rPr>
            </w:pPr>
            <w:r w:rsidRPr="00F92235">
              <w:rPr>
                <w:rFonts w:ascii="Arial" w:hAnsi="Arial" w:cs="Arial"/>
              </w:rPr>
              <w:t xml:space="preserve">Staff and students with </w:t>
            </w:r>
            <w:r w:rsidRPr="00F92235">
              <w:rPr>
                <w:rFonts w:ascii="Arial" w:hAnsi="Arial" w:cs="Arial"/>
              </w:rPr>
              <w:lastRenderedPageBreak/>
              <w:t>different religions and/or beliefs</w:t>
            </w:r>
          </w:p>
        </w:tc>
        <w:tc>
          <w:tcPr>
            <w:tcW w:w="6737" w:type="dxa"/>
          </w:tcPr>
          <w:p w:rsidR="001F4254" w:rsidRPr="00F92235" w:rsidRDefault="001F4254" w:rsidP="001F4254">
            <w:pPr>
              <w:pStyle w:val="ListParagraph"/>
              <w:widowControl/>
              <w:numPr>
                <w:ilvl w:val="0"/>
                <w:numId w:val="12"/>
              </w:numPr>
              <w:autoSpaceDE/>
              <w:autoSpaceDN/>
              <w:ind w:left="678"/>
              <w:contextualSpacing/>
              <w:rPr>
                <w:rFonts w:ascii="Arial" w:hAnsi="Arial" w:cs="Arial"/>
              </w:rPr>
            </w:pPr>
            <w:r w:rsidRPr="00F92235">
              <w:rPr>
                <w:rFonts w:ascii="Arial" w:hAnsi="Arial" w:cs="Arial"/>
              </w:rPr>
              <w:lastRenderedPageBreak/>
              <w:t>Providing proactive information on prayer facilities and considering dietary requirements is important in providing a sense of belonging to staff and students.</w:t>
            </w:r>
          </w:p>
          <w:p w:rsidR="001F4254" w:rsidRPr="00F92235" w:rsidRDefault="001F4254" w:rsidP="001F4254">
            <w:pPr>
              <w:pStyle w:val="TableParagraph"/>
              <w:numPr>
                <w:ilvl w:val="0"/>
                <w:numId w:val="12"/>
              </w:numPr>
              <w:ind w:left="678"/>
              <w:rPr>
                <w:rFonts w:ascii="Arial" w:hAnsi="Arial" w:cs="Arial"/>
              </w:rPr>
            </w:pPr>
            <w:r w:rsidRPr="00F92235">
              <w:rPr>
                <w:rFonts w:ascii="Arial" w:hAnsi="Arial" w:cs="Arial"/>
              </w:rPr>
              <w:lastRenderedPageBreak/>
              <w:t>Policies such as Prevent have been hugely controversial, and it is important that we know the impact of our approach and have included the right people in the development discussions.</w:t>
            </w:r>
          </w:p>
          <w:p w:rsidR="001F4254" w:rsidRPr="00F92235" w:rsidRDefault="001F4254" w:rsidP="001F4254">
            <w:pPr>
              <w:pStyle w:val="TableParagraph"/>
              <w:numPr>
                <w:ilvl w:val="0"/>
                <w:numId w:val="12"/>
              </w:numPr>
              <w:ind w:left="678"/>
              <w:rPr>
                <w:rFonts w:ascii="Arial" w:hAnsi="Arial" w:cs="Arial"/>
              </w:rPr>
            </w:pPr>
            <w:r w:rsidRPr="00F92235">
              <w:rPr>
                <w:rFonts w:ascii="Arial" w:hAnsi="Arial" w:cs="Arial"/>
              </w:rPr>
              <w:t>Considering the impact of religious observance on different groups of students is also important, for example, exams timetabled during Ramadan, and events and seminars scheduled for Friday afternoons/evenings (when Jewish staff and students may be preparing for their Sabbath).</w:t>
            </w:r>
          </w:p>
          <w:p w:rsidR="001F4254" w:rsidRPr="00F92235" w:rsidRDefault="001F4254" w:rsidP="001F4254">
            <w:pPr>
              <w:pStyle w:val="TableParagraph"/>
              <w:numPr>
                <w:ilvl w:val="0"/>
                <w:numId w:val="12"/>
              </w:numPr>
              <w:ind w:left="678"/>
              <w:rPr>
                <w:rFonts w:ascii="Arial" w:hAnsi="Arial" w:cs="Arial"/>
              </w:rPr>
            </w:pPr>
            <w:r w:rsidRPr="00F92235">
              <w:rPr>
                <w:rFonts w:ascii="Arial" w:hAnsi="Arial" w:cs="Arial"/>
              </w:rPr>
              <w:t xml:space="preserve">UK religious holidays are based on the Christian calendar. This is likely to be problematic for those who observe other religious festivals where they may need to take annual leave/miss lectures. </w:t>
            </w:r>
          </w:p>
        </w:tc>
      </w:tr>
      <w:tr w:rsidR="001F4254" w:rsidRPr="00F92235" w:rsidTr="001F4254">
        <w:trPr>
          <w:trHeight w:val="270"/>
        </w:trPr>
        <w:tc>
          <w:tcPr>
            <w:tcW w:w="2886" w:type="dxa"/>
          </w:tcPr>
          <w:p w:rsidR="001F4254" w:rsidRPr="00296F64" w:rsidRDefault="001F4254" w:rsidP="001F4254">
            <w:pPr>
              <w:pStyle w:val="TableParagraph"/>
              <w:spacing w:before="120" w:after="120" w:line="240" w:lineRule="atLeast"/>
              <w:ind w:left="108"/>
              <w:rPr>
                <w:rFonts w:ascii="Arial" w:hAnsi="Arial" w:cs="Arial"/>
                <w:b/>
              </w:rPr>
            </w:pPr>
            <w:r w:rsidRPr="00296F64">
              <w:rPr>
                <w:rFonts w:ascii="Arial" w:hAnsi="Arial" w:cs="Arial"/>
                <w:b/>
              </w:rPr>
              <w:lastRenderedPageBreak/>
              <w:t xml:space="preserve">Sex </w:t>
            </w:r>
          </w:p>
          <w:p w:rsidR="001F4254" w:rsidRPr="003E3254" w:rsidRDefault="0057410A" w:rsidP="001F4254">
            <w:pPr>
              <w:pStyle w:val="TableParagraph"/>
              <w:spacing w:before="120" w:after="120" w:line="240" w:lineRule="atLeast"/>
              <w:ind w:left="108"/>
              <w:rPr>
                <w:rFonts w:ascii="Arial" w:hAnsi="Arial" w:cs="Arial"/>
                <w:b/>
              </w:rPr>
            </w:pPr>
            <w:r>
              <w:rPr>
                <w:rFonts w:ascii="Arial" w:hAnsi="Arial" w:cs="Arial"/>
              </w:rPr>
              <w:t>Both men and women</w:t>
            </w:r>
            <w:bookmarkStart w:id="0" w:name="_GoBack"/>
            <w:bookmarkEnd w:id="0"/>
          </w:p>
        </w:tc>
        <w:tc>
          <w:tcPr>
            <w:tcW w:w="6737" w:type="dxa"/>
          </w:tcPr>
          <w:p w:rsidR="001F4254" w:rsidRPr="00F92235" w:rsidRDefault="001F4254" w:rsidP="001F4254">
            <w:pPr>
              <w:pStyle w:val="TableParagraph"/>
              <w:numPr>
                <w:ilvl w:val="0"/>
                <w:numId w:val="17"/>
              </w:numPr>
              <w:ind w:left="678"/>
              <w:rPr>
                <w:rFonts w:ascii="Arial" w:hAnsi="Arial" w:cs="Arial"/>
              </w:rPr>
            </w:pPr>
            <w:r w:rsidRPr="00F92235">
              <w:rPr>
                <w:rFonts w:ascii="Arial" w:hAnsi="Arial" w:cs="Arial"/>
              </w:rPr>
              <w:t>There is a wealth of evidence on how men are stereotypically perceived as better leaders than women, and the bias generated by these opinions impacts on recruitment and promotion practices</w:t>
            </w:r>
          </w:p>
          <w:p w:rsidR="001F4254" w:rsidRPr="00F92235" w:rsidRDefault="001F4254" w:rsidP="001F4254">
            <w:pPr>
              <w:pStyle w:val="TableParagraph"/>
              <w:numPr>
                <w:ilvl w:val="0"/>
                <w:numId w:val="17"/>
              </w:numPr>
              <w:ind w:left="678"/>
              <w:rPr>
                <w:rFonts w:ascii="Arial" w:hAnsi="Arial" w:cs="Arial"/>
              </w:rPr>
            </w:pPr>
            <w:r w:rsidRPr="00F92235">
              <w:rPr>
                <w:rFonts w:ascii="Arial" w:hAnsi="Arial" w:cs="Arial"/>
              </w:rPr>
              <w:t>There is a drop off of women students from PGT to PGR, and then into the academic pipeline</w:t>
            </w:r>
          </w:p>
          <w:p w:rsidR="001F4254" w:rsidRPr="00F92235" w:rsidRDefault="001F4254" w:rsidP="001F4254">
            <w:pPr>
              <w:pStyle w:val="TableParagraph"/>
              <w:numPr>
                <w:ilvl w:val="0"/>
                <w:numId w:val="17"/>
              </w:numPr>
              <w:ind w:left="678"/>
              <w:rPr>
                <w:rFonts w:ascii="Arial" w:hAnsi="Arial" w:cs="Arial"/>
              </w:rPr>
            </w:pPr>
            <w:r w:rsidRPr="00F92235">
              <w:rPr>
                <w:rFonts w:ascii="Arial" w:hAnsi="Arial" w:cs="Arial"/>
              </w:rPr>
              <w:t>Many Universities have found that women receive less research grant funding than men, often because they apply for smaller pots of money. We need to understand how different academics are encouraged and supported in applying for grant funding, and who gets the most support with the process.</w:t>
            </w:r>
          </w:p>
          <w:p w:rsidR="001F4254" w:rsidRPr="00AF4639" w:rsidRDefault="001F4254" w:rsidP="00AF4639">
            <w:pPr>
              <w:pStyle w:val="TableParagraph"/>
              <w:numPr>
                <w:ilvl w:val="0"/>
                <w:numId w:val="17"/>
              </w:numPr>
              <w:ind w:left="678"/>
              <w:rPr>
                <w:rFonts w:ascii="Arial" w:hAnsi="Arial" w:cs="Arial"/>
              </w:rPr>
            </w:pPr>
            <w:r w:rsidRPr="00F92235">
              <w:rPr>
                <w:rFonts w:ascii="Arial" w:hAnsi="Arial" w:cs="Arial"/>
              </w:rPr>
              <w:t xml:space="preserve">There is significant discipline segregation (men being more likely to study quantitative subjects) and occupational segregation (with women more likely to be cleaning and catering staff and for academics, pastoral care responsibilities, while men work more in security and IT, and academics concentrate on their research). </w:t>
            </w:r>
          </w:p>
        </w:tc>
      </w:tr>
      <w:tr w:rsidR="001F4254" w:rsidRPr="00F92235" w:rsidTr="001F4254">
        <w:trPr>
          <w:trHeight w:val="268"/>
        </w:trPr>
        <w:tc>
          <w:tcPr>
            <w:tcW w:w="2886" w:type="dxa"/>
          </w:tcPr>
          <w:p w:rsidR="001F4254" w:rsidRPr="003E3254" w:rsidRDefault="001F4254" w:rsidP="001F4254">
            <w:pPr>
              <w:pStyle w:val="TableParagraph"/>
              <w:spacing w:before="120" w:after="120" w:line="240" w:lineRule="atLeast"/>
              <w:ind w:left="108"/>
              <w:rPr>
                <w:rFonts w:ascii="Arial" w:hAnsi="Arial" w:cs="Arial"/>
                <w:b/>
              </w:rPr>
            </w:pPr>
            <w:r w:rsidRPr="003E3254">
              <w:rPr>
                <w:rFonts w:ascii="Arial" w:hAnsi="Arial" w:cs="Arial"/>
                <w:b/>
              </w:rPr>
              <w:t>Sexual orientation</w:t>
            </w:r>
          </w:p>
          <w:p w:rsidR="001F4254" w:rsidRPr="00F92235" w:rsidRDefault="001F4254" w:rsidP="001F4254">
            <w:pPr>
              <w:pStyle w:val="TableParagraph"/>
              <w:spacing w:before="120" w:after="120" w:line="240" w:lineRule="atLeast"/>
              <w:ind w:left="108"/>
              <w:rPr>
                <w:rFonts w:ascii="Arial" w:hAnsi="Arial" w:cs="Arial"/>
              </w:rPr>
            </w:pPr>
            <w:r w:rsidRPr="00F92235">
              <w:rPr>
                <w:rFonts w:ascii="Arial" w:hAnsi="Arial" w:cs="Arial"/>
              </w:rPr>
              <w:t>LGBTQ+ staff and students</w:t>
            </w:r>
          </w:p>
        </w:tc>
        <w:tc>
          <w:tcPr>
            <w:tcW w:w="6737" w:type="dxa"/>
          </w:tcPr>
          <w:p w:rsidR="001F4254" w:rsidRPr="00F92235" w:rsidRDefault="001F4254" w:rsidP="001F4254">
            <w:pPr>
              <w:pStyle w:val="TableParagraph"/>
              <w:numPr>
                <w:ilvl w:val="0"/>
                <w:numId w:val="20"/>
              </w:numPr>
              <w:ind w:left="678"/>
              <w:rPr>
                <w:rFonts w:ascii="Arial" w:hAnsi="Arial" w:cs="Arial"/>
              </w:rPr>
            </w:pPr>
            <w:r w:rsidRPr="00F92235">
              <w:rPr>
                <w:rFonts w:ascii="Arial" w:hAnsi="Arial" w:cs="Arial"/>
              </w:rPr>
              <w:t>LGBTQ+ students and staff may feel the need to hide their identity in the workplace, having been out at University/as students. LGBTQ+ students who have been actively involved in LGBTQ+ societies and activities may also feel the need to decide whether to out themselves by including such experiences on their CV, or hiding them and not getting the credit for that work. Providing proactive advice on this, or giving students the opportunity to consider this may be helpful.</w:t>
            </w:r>
          </w:p>
          <w:p w:rsidR="001F4254" w:rsidRPr="00F92235" w:rsidRDefault="001F4254" w:rsidP="001F4254">
            <w:pPr>
              <w:pStyle w:val="TableParagraph"/>
              <w:numPr>
                <w:ilvl w:val="0"/>
                <w:numId w:val="20"/>
              </w:numPr>
              <w:ind w:left="678"/>
              <w:rPr>
                <w:rFonts w:ascii="Arial" w:hAnsi="Arial" w:cs="Arial"/>
              </w:rPr>
            </w:pPr>
            <w:r w:rsidRPr="00F92235">
              <w:rPr>
                <w:rFonts w:ascii="Arial" w:hAnsi="Arial" w:cs="Arial"/>
              </w:rPr>
              <w:t>LGBTQ+ staff and students still face overt discrimination and violence, and homosexuality is still illegal in some countries. This should be considered when planning overseas conferences and research.</w:t>
            </w:r>
          </w:p>
        </w:tc>
      </w:tr>
      <w:tr w:rsidR="001F4254" w:rsidRPr="00F92235" w:rsidTr="001F4254">
        <w:trPr>
          <w:trHeight w:val="805"/>
        </w:trPr>
        <w:tc>
          <w:tcPr>
            <w:tcW w:w="2886" w:type="dxa"/>
          </w:tcPr>
          <w:p w:rsidR="001F4254" w:rsidRPr="00F92235" w:rsidRDefault="001F4254" w:rsidP="001F4254">
            <w:pPr>
              <w:pStyle w:val="TableParagraph"/>
              <w:spacing w:before="120" w:after="120" w:line="240" w:lineRule="atLeast"/>
              <w:ind w:left="108"/>
              <w:rPr>
                <w:rFonts w:ascii="Arial" w:hAnsi="Arial" w:cs="Arial"/>
              </w:rPr>
            </w:pPr>
            <w:r w:rsidRPr="00F92235">
              <w:rPr>
                <w:rFonts w:ascii="Arial" w:hAnsi="Arial" w:cs="Arial"/>
              </w:rPr>
              <w:t>People with caring responsibilities</w:t>
            </w:r>
          </w:p>
        </w:tc>
        <w:tc>
          <w:tcPr>
            <w:tcW w:w="6737" w:type="dxa"/>
          </w:tcPr>
          <w:p w:rsidR="001F4254" w:rsidRPr="00F92235" w:rsidRDefault="001F4254" w:rsidP="001F4254">
            <w:pPr>
              <w:pStyle w:val="TableParagraph"/>
              <w:numPr>
                <w:ilvl w:val="0"/>
                <w:numId w:val="12"/>
              </w:numPr>
              <w:ind w:left="678"/>
              <w:rPr>
                <w:rFonts w:ascii="Arial" w:hAnsi="Arial" w:cs="Arial"/>
              </w:rPr>
            </w:pPr>
            <w:r w:rsidRPr="00F92235">
              <w:rPr>
                <w:rFonts w:ascii="Arial" w:hAnsi="Arial" w:cs="Arial"/>
              </w:rPr>
              <w:t>Caring responsibilities do not only relate to those with childcare responsibilities. People with older and/or disabled relatives may have significant caring responsibilities for them. Line Managers/Team Leaders should consider how staff can be supported through flexible working (where business needs allow)</w:t>
            </w:r>
          </w:p>
          <w:p w:rsidR="001F4254" w:rsidRPr="00F92235" w:rsidRDefault="001F4254" w:rsidP="001F4254">
            <w:pPr>
              <w:pStyle w:val="TableParagraph"/>
              <w:numPr>
                <w:ilvl w:val="0"/>
                <w:numId w:val="12"/>
              </w:numPr>
              <w:ind w:left="678"/>
              <w:rPr>
                <w:rFonts w:ascii="Arial" w:hAnsi="Arial" w:cs="Arial"/>
              </w:rPr>
            </w:pPr>
            <w:r w:rsidRPr="00F92235">
              <w:rPr>
                <w:rFonts w:ascii="Arial" w:hAnsi="Arial" w:cs="Arial"/>
              </w:rPr>
              <w:t>Meetings and events should be scheduled within core hours wherever possible, and avoiding school holidays (as well as religious festivals) wherever they can.</w:t>
            </w:r>
          </w:p>
        </w:tc>
      </w:tr>
      <w:tr w:rsidR="001F4254" w:rsidRPr="00F92235" w:rsidTr="001F4254">
        <w:trPr>
          <w:trHeight w:val="805"/>
        </w:trPr>
        <w:tc>
          <w:tcPr>
            <w:tcW w:w="2886" w:type="dxa"/>
          </w:tcPr>
          <w:p w:rsidR="001F4254" w:rsidRPr="00F92235" w:rsidRDefault="001F4254" w:rsidP="001F4254">
            <w:pPr>
              <w:pStyle w:val="TableParagraph"/>
              <w:spacing w:before="120" w:after="120" w:line="240" w:lineRule="atLeast"/>
              <w:ind w:left="108"/>
              <w:rPr>
                <w:rFonts w:ascii="Arial" w:hAnsi="Arial" w:cs="Arial"/>
              </w:rPr>
            </w:pPr>
            <w:r w:rsidRPr="00F92235">
              <w:rPr>
                <w:rFonts w:ascii="Arial" w:hAnsi="Arial" w:cs="Arial"/>
              </w:rPr>
              <w:lastRenderedPageBreak/>
              <w:t>Staff and students from lower socio-economic backgrounds</w:t>
            </w:r>
          </w:p>
        </w:tc>
        <w:tc>
          <w:tcPr>
            <w:tcW w:w="6737" w:type="dxa"/>
          </w:tcPr>
          <w:p w:rsidR="001F4254" w:rsidRPr="00F92235" w:rsidRDefault="001F4254" w:rsidP="001F4254">
            <w:pPr>
              <w:pStyle w:val="TableParagraph"/>
              <w:numPr>
                <w:ilvl w:val="0"/>
                <w:numId w:val="21"/>
              </w:numPr>
              <w:ind w:left="678"/>
              <w:rPr>
                <w:rFonts w:ascii="Arial" w:hAnsi="Arial" w:cs="Arial"/>
              </w:rPr>
            </w:pPr>
            <w:r w:rsidRPr="00F92235">
              <w:rPr>
                <w:rFonts w:ascii="Arial" w:hAnsi="Arial" w:cs="Arial"/>
              </w:rPr>
              <w:t>Higher education is still dominated by people from higher socio economic backgrounds, and LSE has a widening participation plan in place, which has been agreed by the Office for Students.</w:t>
            </w:r>
          </w:p>
          <w:p w:rsidR="001F4254" w:rsidRPr="00F92235" w:rsidRDefault="001F4254" w:rsidP="001F4254">
            <w:pPr>
              <w:pStyle w:val="TableParagraph"/>
              <w:numPr>
                <w:ilvl w:val="0"/>
                <w:numId w:val="21"/>
              </w:numPr>
              <w:ind w:left="678"/>
              <w:rPr>
                <w:rFonts w:ascii="Arial" w:hAnsi="Arial" w:cs="Arial"/>
              </w:rPr>
            </w:pPr>
            <w:r w:rsidRPr="00F92235">
              <w:rPr>
                <w:rFonts w:ascii="Arial" w:hAnsi="Arial" w:cs="Arial"/>
              </w:rPr>
              <w:t>Consider the impact of economic background on students’ ability to pay for books and overseas fieldtrips. It can also impact on employment, some students will need to be in some form of paid employment while they study and will not be able to volunteer and undertake unpaid employment opportunities as easily.</w:t>
            </w:r>
          </w:p>
        </w:tc>
      </w:tr>
      <w:tr w:rsidR="001F4254" w:rsidRPr="00F92235" w:rsidTr="001F4254">
        <w:trPr>
          <w:trHeight w:val="537"/>
        </w:trPr>
        <w:tc>
          <w:tcPr>
            <w:tcW w:w="2886" w:type="dxa"/>
          </w:tcPr>
          <w:p w:rsidR="001F4254" w:rsidRPr="00F92235" w:rsidRDefault="001F4254" w:rsidP="001F4254">
            <w:pPr>
              <w:pStyle w:val="TableParagraph"/>
              <w:tabs>
                <w:tab w:val="left" w:pos="901"/>
                <w:tab w:val="left" w:pos="2047"/>
              </w:tabs>
              <w:spacing w:before="120" w:after="120" w:line="240" w:lineRule="atLeast"/>
              <w:ind w:left="108"/>
              <w:rPr>
                <w:rFonts w:ascii="Arial" w:hAnsi="Arial" w:cs="Arial"/>
              </w:rPr>
            </w:pPr>
            <w:r w:rsidRPr="00F92235">
              <w:rPr>
                <w:rFonts w:ascii="Arial" w:hAnsi="Arial" w:cs="Arial"/>
              </w:rPr>
              <w:t xml:space="preserve">Intersectionality (include any other relevant information relating to the intersection of any of these protected groups) </w:t>
            </w:r>
          </w:p>
        </w:tc>
        <w:tc>
          <w:tcPr>
            <w:tcW w:w="6737" w:type="dxa"/>
          </w:tcPr>
          <w:p w:rsidR="001F4254" w:rsidRPr="00F92235" w:rsidRDefault="001F4254" w:rsidP="001F4254">
            <w:pPr>
              <w:pStyle w:val="ListParagraph"/>
              <w:widowControl/>
              <w:numPr>
                <w:ilvl w:val="0"/>
                <w:numId w:val="12"/>
              </w:numPr>
              <w:autoSpaceDE/>
              <w:autoSpaceDN/>
              <w:ind w:left="678"/>
              <w:contextualSpacing/>
              <w:rPr>
                <w:rStyle w:val="Hyperlink"/>
                <w:rFonts w:ascii="Arial" w:hAnsi="Arial" w:cs="Arial"/>
                <w:color w:val="auto"/>
                <w:u w:val="none"/>
              </w:rPr>
            </w:pPr>
            <w:r w:rsidRPr="00F92235">
              <w:rPr>
                <w:rFonts w:ascii="Arial" w:hAnsi="Arial" w:cs="Arial"/>
              </w:rPr>
              <w:t xml:space="preserve">Evidence across the sector suggests that different students request and access support in different ways. There is also evidence that across the sector, different groups of students receive different levels of support, for example, this research by Dr Jason Arday suggests different types of mental health support for white students, compared with minority ethnic students: </w:t>
            </w:r>
            <w:hyperlink r:id="rId13" w:history="1">
              <w:r w:rsidRPr="00F92235">
                <w:rPr>
                  <w:rStyle w:val="Hyperlink"/>
                  <w:rFonts w:ascii="Arial" w:hAnsi="Arial" w:cs="Arial"/>
                </w:rPr>
                <w:t>https://www.mdpi.com/2076-0760/7/10/196</w:t>
              </w:r>
            </w:hyperlink>
          </w:p>
          <w:p w:rsidR="001F4254" w:rsidRPr="00F92235" w:rsidRDefault="001F4254" w:rsidP="001F4254">
            <w:pPr>
              <w:pStyle w:val="ListParagraph"/>
              <w:widowControl/>
              <w:numPr>
                <w:ilvl w:val="0"/>
                <w:numId w:val="12"/>
              </w:numPr>
              <w:autoSpaceDE/>
              <w:autoSpaceDN/>
              <w:ind w:left="678"/>
              <w:contextualSpacing/>
              <w:rPr>
                <w:rFonts w:ascii="Arial" w:hAnsi="Arial" w:cs="Arial"/>
              </w:rPr>
            </w:pPr>
            <w:r w:rsidRPr="00F92235">
              <w:rPr>
                <w:rFonts w:ascii="Arial" w:hAnsi="Arial" w:cs="Arial"/>
              </w:rPr>
              <w:t xml:space="preserve">Research by Nicola Rollock highlights the paucity of Black female professors, and highlights the resilience strategies they have employed to progress: </w:t>
            </w:r>
            <w:hyperlink r:id="rId14" w:history="1">
              <w:r w:rsidRPr="00F92235">
                <w:rPr>
                  <w:rStyle w:val="Hyperlink"/>
                  <w:rFonts w:ascii="Arial" w:hAnsi="Arial" w:cs="Arial"/>
                </w:rPr>
                <w:t>https://www.ucu.org.uk/media/10075/staying-power/pdf/ucu_rollock_february_2019.pdf</w:t>
              </w:r>
            </w:hyperlink>
          </w:p>
          <w:p w:rsidR="001F4254" w:rsidRPr="00F92235" w:rsidRDefault="001F4254" w:rsidP="001F4254">
            <w:pPr>
              <w:pStyle w:val="TableParagraph"/>
              <w:ind w:left="678" w:hanging="360"/>
              <w:rPr>
                <w:rFonts w:ascii="Arial" w:hAnsi="Arial" w:cs="Arial"/>
              </w:rPr>
            </w:pPr>
          </w:p>
        </w:tc>
      </w:tr>
    </w:tbl>
    <w:p w:rsidR="00D124E7" w:rsidRPr="00F92235" w:rsidRDefault="00D124E7">
      <w:pPr>
        <w:rPr>
          <w:rFonts w:ascii="Arial" w:hAnsi="Arial" w:cs="Arial"/>
        </w:rPr>
      </w:pPr>
    </w:p>
    <w:p w:rsidR="009660FE" w:rsidRPr="00F92235" w:rsidRDefault="009660FE">
      <w:pPr>
        <w:pStyle w:val="BodyText"/>
        <w:spacing w:before="7"/>
        <w:rPr>
          <w:rFonts w:ascii="Arial" w:hAnsi="Arial" w:cs="Arial"/>
        </w:rPr>
      </w:pPr>
    </w:p>
    <w:tbl>
      <w:tblPr>
        <w:tblW w:w="95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397"/>
        <w:gridCol w:w="4797"/>
        <w:gridCol w:w="2399"/>
      </w:tblGrid>
      <w:tr w:rsidR="009660FE" w:rsidRPr="00F92235" w:rsidTr="00886B68">
        <w:trPr>
          <w:trHeight w:val="293"/>
        </w:trPr>
        <w:tc>
          <w:tcPr>
            <w:tcW w:w="9593" w:type="dxa"/>
            <w:gridSpan w:val="3"/>
            <w:shd w:val="clear" w:color="auto" w:fill="auto"/>
          </w:tcPr>
          <w:p w:rsidR="009660FE" w:rsidRPr="00F92235" w:rsidRDefault="00D4018B">
            <w:pPr>
              <w:pStyle w:val="TableParagraph"/>
              <w:spacing w:line="272" w:lineRule="exact"/>
              <w:ind w:left="107"/>
              <w:rPr>
                <w:rFonts w:ascii="Arial" w:hAnsi="Arial" w:cs="Arial"/>
                <w:b/>
              </w:rPr>
            </w:pPr>
            <w:r w:rsidRPr="00F92235">
              <w:rPr>
                <w:rFonts w:ascii="Arial" w:hAnsi="Arial" w:cs="Arial"/>
                <w:b/>
              </w:rPr>
              <w:t>4</w:t>
            </w:r>
            <w:r w:rsidR="0035494D" w:rsidRPr="00F92235">
              <w:rPr>
                <w:rFonts w:ascii="Arial" w:hAnsi="Arial" w:cs="Arial"/>
                <w:b/>
              </w:rPr>
              <w:t>. Action Planning</w:t>
            </w:r>
          </w:p>
        </w:tc>
      </w:tr>
      <w:tr w:rsidR="00043CD8" w:rsidRPr="00F92235" w:rsidTr="00886B68">
        <w:trPr>
          <w:trHeight w:val="1351"/>
        </w:trPr>
        <w:tc>
          <w:tcPr>
            <w:tcW w:w="2397" w:type="dxa"/>
          </w:tcPr>
          <w:p w:rsidR="00043CD8" w:rsidRPr="00F92235" w:rsidRDefault="00043CD8">
            <w:pPr>
              <w:pStyle w:val="TableParagraph"/>
              <w:ind w:left="107" w:right="95"/>
              <w:jc w:val="both"/>
              <w:rPr>
                <w:rFonts w:ascii="Arial" w:hAnsi="Arial" w:cs="Arial"/>
                <w:b/>
              </w:rPr>
            </w:pPr>
            <w:r w:rsidRPr="00F92235">
              <w:rPr>
                <w:rFonts w:ascii="Arial" w:hAnsi="Arial" w:cs="Arial"/>
                <w:b/>
              </w:rPr>
              <w:t>Issue Identified</w:t>
            </w:r>
          </w:p>
        </w:tc>
        <w:tc>
          <w:tcPr>
            <w:tcW w:w="4797" w:type="dxa"/>
          </w:tcPr>
          <w:p w:rsidR="00043CD8" w:rsidRPr="00F92235" w:rsidRDefault="00043CD8">
            <w:pPr>
              <w:pStyle w:val="TableParagraph"/>
              <w:ind w:left="107" w:right="91"/>
              <w:jc w:val="both"/>
              <w:rPr>
                <w:rFonts w:ascii="Arial" w:hAnsi="Arial" w:cs="Arial"/>
                <w:b/>
              </w:rPr>
            </w:pPr>
            <w:r w:rsidRPr="00F92235">
              <w:rPr>
                <w:rFonts w:ascii="Arial" w:hAnsi="Arial" w:cs="Arial"/>
                <w:b/>
              </w:rPr>
              <w:t>Planned Action</w:t>
            </w:r>
          </w:p>
        </w:tc>
        <w:tc>
          <w:tcPr>
            <w:tcW w:w="2398" w:type="dxa"/>
          </w:tcPr>
          <w:p w:rsidR="00043CD8" w:rsidRPr="00F92235" w:rsidRDefault="00043CD8">
            <w:pPr>
              <w:pStyle w:val="TableParagraph"/>
              <w:spacing w:line="265" w:lineRule="exact"/>
              <w:ind w:left="107"/>
              <w:rPr>
                <w:rFonts w:ascii="Arial" w:hAnsi="Arial" w:cs="Arial"/>
                <w:b/>
              </w:rPr>
            </w:pPr>
            <w:r w:rsidRPr="00F92235">
              <w:rPr>
                <w:rFonts w:ascii="Arial" w:hAnsi="Arial" w:cs="Arial"/>
                <w:b/>
              </w:rPr>
              <w:t>Lead and Timeframe</w:t>
            </w:r>
          </w:p>
        </w:tc>
      </w:tr>
      <w:tr w:rsidR="00043CD8" w:rsidRPr="00F92235" w:rsidTr="00886B68">
        <w:trPr>
          <w:trHeight w:val="583"/>
        </w:trPr>
        <w:tc>
          <w:tcPr>
            <w:tcW w:w="2397" w:type="dxa"/>
          </w:tcPr>
          <w:p w:rsidR="00043CD8" w:rsidRPr="00F92235" w:rsidRDefault="00043CD8">
            <w:pPr>
              <w:pStyle w:val="TableParagraph"/>
              <w:ind w:left="107" w:right="95"/>
              <w:jc w:val="both"/>
              <w:rPr>
                <w:rFonts w:ascii="Arial" w:hAnsi="Arial" w:cs="Arial"/>
              </w:rPr>
            </w:pPr>
          </w:p>
        </w:tc>
        <w:tc>
          <w:tcPr>
            <w:tcW w:w="4797" w:type="dxa"/>
          </w:tcPr>
          <w:p w:rsidR="00043CD8" w:rsidRPr="00F92235" w:rsidRDefault="00043CD8">
            <w:pPr>
              <w:pStyle w:val="TableParagraph"/>
              <w:ind w:left="107" w:right="91"/>
              <w:jc w:val="both"/>
              <w:rPr>
                <w:rFonts w:ascii="Arial" w:hAnsi="Arial" w:cs="Arial"/>
              </w:rPr>
            </w:pPr>
          </w:p>
        </w:tc>
        <w:tc>
          <w:tcPr>
            <w:tcW w:w="2398" w:type="dxa"/>
          </w:tcPr>
          <w:p w:rsidR="00043CD8" w:rsidRPr="00F92235" w:rsidRDefault="00043CD8">
            <w:pPr>
              <w:pStyle w:val="TableParagraph"/>
              <w:spacing w:line="265" w:lineRule="exact"/>
              <w:ind w:left="107"/>
              <w:rPr>
                <w:rFonts w:ascii="Arial" w:hAnsi="Arial" w:cs="Arial"/>
              </w:rPr>
            </w:pPr>
          </w:p>
        </w:tc>
      </w:tr>
      <w:tr w:rsidR="00043CD8" w:rsidRPr="00F92235" w:rsidTr="00886B68">
        <w:trPr>
          <w:trHeight w:val="559"/>
        </w:trPr>
        <w:tc>
          <w:tcPr>
            <w:tcW w:w="2397" w:type="dxa"/>
          </w:tcPr>
          <w:p w:rsidR="00043CD8" w:rsidRPr="00F92235" w:rsidRDefault="00043CD8">
            <w:pPr>
              <w:pStyle w:val="TableParagraph"/>
              <w:ind w:left="107" w:right="95"/>
              <w:jc w:val="both"/>
              <w:rPr>
                <w:rFonts w:ascii="Arial" w:hAnsi="Arial" w:cs="Arial"/>
              </w:rPr>
            </w:pPr>
          </w:p>
        </w:tc>
        <w:tc>
          <w:tcPr>
            <w:tcW w:w="4797" w:type="dxa"/>
          </w:tcPr>
          <w:p w:rsidR="00043CD8" w:rsidRPr="00F92235" w:rsidRDefault="00043CD8">
            <w:pPr>
              <w:pStyle w:val="TableParagraph"/>
              <w:ind w:left="107" w:right="91"/>
              <w:jc w:val="both"/>
              <w:rPr>
                <w:rFonts w:ascii="Arial" w:hAnsi="Arial" w:cs="Arial"/>
              </w:rPr>
            </w:pPr>
          </w:p>
        </w:tc>
        <w:tc>
          <w:tcPr>
            <w:tcW w:w="2398" w:type="dxa"/>
          </w:tcPr>
          <w:p w:rsidR="00043CD8" w:rsidRPr="00F92235" w:rsidRDefault="00043CD8">
            <w:pPr>
              <w:pStyle w:val="TableParagraph"/>
              <w:spacing w:line="265" w:lineRule="exact"/>
              <w:ind w:left="107"/>
              <w:rPr>
                <w:rFonts w:ascii="Arial" w:hAnsi="Arial" w:cs="Arial"/>
              </w:rPr>
            </w:pPr>
          </w:p>
        </w:tc>
      </w:tr>
    </w:tbl>
    <w:tbl>
      <w:tblPr>
        <w:tblpPr w:leftFromText="180" w:rightFromText="180" w:vertAnchor="text" w:horzAnchor="margin" w:tblpX="10" w:tblpY="690"/>
        <w:tblW w:w="9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9583"/>
      </w:tblGrid>
      <w:tr w:rsidR="00D124E7" w:rsidRPr="00F92235" w:rsidTr="00886B68">
        <w:trPr>
          <w:trHeight w:val="301"/>
        </w:trPr>
        <w:tc>
          <w:tcPr>
            <w:tcW w:w="9583" w:type="dxa"/>
            <w:shd w:val="clear" w:color="auto" w:fill="auto"/>
          </w:tcPr>
          <w:p w:rsidR="00D124E7" w:rsidRPr="00F92235" w:rsidRDefault="00D124E7" w:rsidP="00F375AB">
            <w:pPr>
              <w:pStyle w:val="TableParagraph"/>
              <w:spacing w:line="275" w:lineRule="exact"/>
              <w:rPr>
                <w:rFonts w:ascii="Arial" w:hAnsi="Arial" w:cs="Arial"/>
                <w:b/>
              </w:rPr>
            </w:pPr>
            <w:r w:rsidRPr="00F92235">
              <w:rPr>
                <w:rFonts w:ascii="Arial" w:hAnsi="Arial" w:cs="Arial"/>
                <w:b/>
              </w:rPr>
              <w:t>5. Monitoring and Review</w:t>
            </w:r>
          </w:p>
        </w:tc>
      </w:tr>
      <w:tr w:rsidR="00D124E7" w:rsidRPr="00F92235" w:rsidTr="00886B68">
        <w:trPr>
          <w:trHeight w:val="272"/>
        </w:trPr>
        <w:tc>
          <w:tcPr>
            <w:tcW w:w="9583" w:type="dxa"/>
            <w:tcBorders>
              <w:bottom w:val="single" w:sz="6" w:space="0" w:color="000000"/>
            </w:tcBorders>
          </w:tcPr>
          <w:p w:rsidR="00D124E7" w:rsidRPr="00F92235" w:rsidRDefault="00D124E7" w:rsidP="00F375AB">
            <w:pPr>
              <w:pStyle w:val="TableParagraph"/>
              <w:spacing w:line="246" w:lineRule="exact"/>
              <w:ind w:left="107"/>
              <w:rPr>
                <w:rFonts w:ascii="Arial" w:hAnsi="Arial" w:cs="Arial"/>
              </w:rPr>
            </w:pPr>
            <w:r w:rsidRPr="00F92235">
              <w:rPr>
                <w:rFonts w:ascii="Arial" w:hAnsi="Arial" w:cs="Arial"/>
              </w:rPr>
              <w:t>How will you monitor the impact of your project once it has been put into effect?</w:t>
            </w:r>
          </w:p>
        </w:tc>
      </w:tr>
      <w:tr w:rsidR="00D124E7" w:rsidRPr="00F92235" w:rsidTr="00886B68">
        <w:trPr>
          <w:trHeight w:val="1923"/>
        </w:trPr>
        <w:tc>
          <w:tcPr>
            <w:tcW w:w="9583" w:type="dxa"/>
            <w:tcBorders>
              <w:top w:val="single" w:sz="6" w:space="0" w:color="000000"/>
            </w:tcBorders>
          </w:tcPr>
          <w:p w:rsidR="00D124E7" w:rsidRPr="00F92235" w:rsidRDefault="00D124E7" w:rsidP="00F375AB">
            <w:pPr>
              <w:pStyle w:val="TableParagraph"/>
              <w:rPr>
                <w:rFonts w:ascii="Arial" w:hAnsi="Arial" w:cs="Arial"/>
              </w:rPr>
            </w:pPr>
          </w:p>
        </w:tc>
      </w:tr>
      <w:tr w:rsidR="00D124E7" w:rsidRPr="00F92235" w:rsidTr="00886B68">
        <w:trPr>
          <w:trHeight w:val="550"/>
        </w:trPr>
        <w:tc>
          <w:tcPr>
            <w:tcW w:w="9583" w:type="dxa"/>
          </w:tcPr>
          <w:p w:rsidR="00D124E7" w:rsidRPr="00F92235" w:rsidRDefault="00D124E7" w:rsidP="00F375AB">
            <w:pPr>
              <w:pStyle w:val="TableParagraph"/>
              <w:spacing w:line="257" w:lineRule="exact"/>
              <w:ind w:left="107"/>
              <w:rPr>
                <w:rFonts w:ascii="Arial" w:hAnsi="Arial" w:cs="Arial"/>
              </w:rPr>
            </w:pPr>
            <w:r w:rsidRPr="00F92235">
              <w:rPr>
                <w:rFonts w:ascii="Arial" w:hAnsi="Arial" w:cs="Arial"/>
              </w:rPr>
              <w:t>At which committee(s) have these EDI considerations been discussed:</w:t>
            </w:r>
          </w:p>
        </w:tc>
      </w:tr>
      <w:tr w:rsidR="00D124E7" w:rsidRPr="00F92235" w:rsidTr="00886B68">
        <w:trPr>
          <w:trHeight w:val="550"/>
        </w:trPr>
        <w:tc>
          <w:tcPr>
            <w:tcW w:w="9583" w:type="dxa"/>
          </w:tcPr>
          <w:p w:rsidR="00D124E7" w:rsidRPr="00F92235" w:rsidRDefault="00D124E7" w:rsidP="00F375AB">
            <w:pPr>
              <w:pStyle w:val="TableParagraph"/>
              <w:spacing w:line="257" w:lineRule="exact"/>
              <w:ind w:left="107"/>
              <w:rPr>
                <w:rFonts w:ascii="Arial" w:hAnsi="Arial" w:cs="Arial"/>
              </w:rPr>
            </w:pPr>
            <w:r w:rsidRPr="00F92235">
              <w:rPr>
                <w:rFonts w:ascii="Arial" w:hAnsi="Arial" w:cs="Arial"/>
              </w:rPr>
              <w:lastRenderedPageBreak/>
              <w:t>Sign off from Head of Department</w:t>
            </w:r>
            <w:r w:rsidR="00261704">
              <w:rPr>
                <w:rFonts w:ascii="Arial" w:hAnsi="Arial" w:cs="Arial"/>
              </w:rPr>
              <w:t xml:space="preserve"> or Service</w:t>
            </w:r>
            <w:r w:rsidRPr="00F92235">
              <w:rPr>
                <w:rFonts w:ascii="Arial" w:hAnsi="Arial" w:cs="Arial"/>
              </w:rPr>
              <w:t>:</w:t>
            </w:r>
          </w:p>
        </w:tc>
      </w:tr>
      <w:tr w:rsidR="00D124E7" w:rsidRPr="00F92235" w:rsidTr="00886B68">
        <w:trPr>
          <w:trHeight w:val="550"/>
        </w:trPr>
        <w:tc>
          <w:tcPr>
            <w:tcW w:w="9583" w:type="dxa"/>
          </w:tcPr>
          <w:p w:rsidR="00D124E7" w:rsidRPr="00F92235" w:rsidRDefault="00D124E7" w:rsidP="00F375AB">
            <w:pPr>
              <w:pStyle w:val="TableParagraph"/>
              <w:spacing w:line="257" w:lineRule="exact"/>
              <w:ind w:left="107"/>
              <w:rPr>
                <w:rFonts w:ascii="Arial" w:hAnsi="Arial" w:cs="Arial"/>
              </w:rPr>
            </w:pPr>
            <w:r w:rsidRPr="00F92235">
              <w:rPr>
                <w:rFonts w:ascii="Arial" w:hAnsi="Arial" w:cs="Arial"/>
              </w:rPr>
              <w:t>Review Date:</w:t>
            </w:r>
          </w:p>
        </w:tc>
      </w:tr>
    </w:tbl>
    <w:p w:rsidR="00D124E7" w:rsidRPr="00F92235" w:rsidRDefault="00D124E7">
      <w:pPr>
        <w:spacing w:line="265" w:lineRule="exact"/>
        <w:rPr>
          <w:rFonts w:ascii="Arial" w:hAnsi="Arial" w:cs="Arial"/>
        </w:rPr>
      </w:pPr>
    </w:p>
    <w:p w:rsidR="00D124E7" w:rsidRPr="00F92235" w:rsidRDefault="00D124E7" w:rsidP="00D124E7">
      <w:pPr>
        <w:rPr>
          <w:rFonts w:ascii="Arial" w:hAnsi="Arial" w:cs="Arial"/>
        </w:rPr>
      </w:pPr>
    </w:p>
    <w:p w:rsidR="00D124E7" w:rsidRPr="00F92235" w:rsidRDefault="00D124E7" w:rsidP="00D124E7">
      <w:pPr>
        <w:rPr>
          <w:rFonts w:ascii="Arial" w:hAnsi="Arial" w:cs="Arial"/>
        </w:rPr>
      </w:pPr>
    </w:p>
    <w:p w:rsidR="00D124E7" w:rsidRPr="00F92235" w:rsidRDefault="00D124E7" w:rsidP="00D124E7">
      <w:pPr>
        <w:rPr>
          <w:rFonts w:ascii="Arial" w:hAnsi="Arial" w:cs="Arial"/>
        </w:rPr>
      </w:pPr>
    </w:p>
    <w:p w:rsidR="00D124E7" w:rsidRPr="00F92235" w:rsidRDefault="00D124E7" w:rsidP="00D124E7">
      <w:pPr>
        <w:rPr>
          <w:rFonts w:ascii="Arial" w:hAnsi="Arial" w:cs="Arial"/>
        </w:rPr>
      </w:pPr>
    </w:p>
    <w:p w:rsidR="00D124E7" w:rsidRPr="00F92235" w:rsidRDefault="00D124E7" w:rsidP="00D124E7">
      <w:pPr>
        <w:pStyle w:val="Heading1"/>
        <w:spacing w:before="1"/>
        <w:ind w:left="0" w:right="-1"/>
        <w:jc w:val="center"/>
        <w:rPr>
          <w:rFonts w:ascii="Arial" w:hAnsi="Arial" w:cs="Arial"/>
          <w:b/>
          <w:sz w:val="22"/>
          <w:szCs w:val="22"/>
        </w:rPr>
      </w:pPr>
      <w:r w:rsidRPr="00F92235">
        <w:rPr>
          <w:rFonts w:ascii="Arial" w:hAnsi="Arial" w:cs="Arial"/>
          <w:b/>
          <w:sz w:val="22"/>
          <w:szCs w:val="22"/>
        </w:rPr>
        <w:t>Once this has been signed off by your head of department, please alert the EDI team of its completion, and decide whether it should be published</w:t>
      </w:r>
      <w:r w:rsidR="00CF3F32" w:rsidRPr="00F92235">
        <w:rPr>
          <w:rFonts w:ascii="Arial" w:hAnsi="Arial" w:cs="Arial"/>
          <w:b/>
          <w:sz w:val="22"/>
          <w:szCs w:val="22"/>
        </w:rPr>
        <w:t xml:space="preserve"> on your webpages</w:t>
      </w:r>
      <w:r w:rsidRPr="00F92235">
        <w:rPr>
          <w:rFonts w:ascii="Arial" w:hAnsi="Arial" w:cs="Arial"/>
          <w:b/>
          <w:sz w:val="22"/>
          <w:szCs w:val="22"/>
        </w:rPr>
        <w:t>.</w:t>
      </w:r>
    </w:p>
    <w:p w:rsidR="00D124E7" w:rsidRPr="00F92235" w:rsidRDefault="00D124E7" w:rsidP="00D124E7">
      <w:pPr>
        <w:rPr>
          <w:rFonts w:ascii="Arial" w:hAnsi="Arial" w:cs="Arial"/>
        </w:rPr>
      </w:pPr>
    </w:p>
    <w:p w:rsidR="00D124E7" w:rsidRPr="00F92235" w:rsidRDefault="00D124E7" w:rsidP="00D124E7">
      <w:pPr>
        <w:rPr>
          <w:rFonts w:ascii="Arial" w:hAnsi="Arial" w:cs="Arial"/>
        </w:rPr>
      </w:pPr>
    </w:p>
    <w:p w:rsidR="00F92235" w:rsidRDefault="00F92235" w:rsidP="00D124E7">
      <w:pPr>
        <w:rPr>
          <w:rFonts w:ascii="Arial" w:hAnsi="Arial" w:cs="Arial"/>
        </w:rPr>
      </w:pPr>
      <w:r>
        <w:rPr>
          <w:rFonts w:ascii="Arial" w:hAnsi="Arial" w:cs="Arial"/>
        </w:rPr>
        <w:br w:type="page"/>
      </w:r>
    </w:p>
    <w:p w:rsidR="00D124E7" w:rsidRPr="00F92235" w:rsidRDefault="00D124E7" w:rsidP="00D124E7">
      <w:pPr>
        <w:rPr>
          <w:rFonts w:ascii="Arial" w:hAnsi="Arial" w:cs="Arial"/>
        </w:rPr>
      </w:pPr>
    </w:p>
    <w:p w:rsidR="00D124E7" w:rsidRPr="00F92235" w:rsidRDefault="00D124E7" w:rsidP="00D124E7">
      <w:pPr>
        <w:rPr>
          <w:rFonts w:ascii="Arial" w:hAnsi="Arial" w:cs="Arial"/>
        </w:rPr>
      </w:pPr>
    </w:p>
    <w:p w:rsidR="00DA21CC" w:rsidRPr="00F92235" w:rsidRDefault="00DA21CC" w:rsidP="00972B2A">
      <w:pPr>
        <w:pStyle w:val="Heading2"/>
        <w:rPr>
          <w:rFonts w:ascii="Arial" w:hAnsi="Arial" w:cs="Arial"/>
          <w:color w:val="auto"/>
          <w:sz w:val="22"/>
          <w:szCs w:val="22"/>
        </w:rPr>
      </w:pPr>
      <w:r w:rsidRPr="00F92235">
        <w:rPr>
          <w:rFonts w:ascii="Arial" w:hAnsi="Arial" w:cs="Arial"/>
          <w:color w:val="auto"/>
          <w:sz w:val="22"/>
          <w:szCs w:val="22"/>
        </w:rPr>
        <w:t>Annex 1</w:t>
      </w:r>
    </w:p>
    <w:p w:rsidR="00DA21CC" w:rsidRPr="00F92235" w:rsidRDefault="00DA21CC" w:rsidP="00DA21CC">
      <w:pPr>
        <w:adjustRightInd w:val="0"/>
        <w:rPr>
          <w:rFonts w:ascii="Arial" w:hAnsi="Arial" w:cs="Arial"/>
          <w:color w:val="00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3369"/>
        <w:gridCol w:w="5953"/>
      </w:tblGrid>
      <w:tr w:rsidR="00DA21CC" w:rsidRPr="00F92235" w:rsidTr="0030344E">
        <w:trPr>
          <w:trHeight w:val="1437"/>
        </w:trPr>
        <w:tc>
          <w:tcPr>
            <w:tcW w:w="9322" w:type="dxa"/>
            <w:gridSpan w:val="2"/>
          </w:tcPr>
          <w:p w:rsidR="00DA21CC" w:rsidRPr="00F92235" w:rsidRDefault="00DA21CC" w:rsidP="00BD65CE">
            <w:pPr>
              <w:adjustRightInd w:val="0"/>
              <w:rPr>
                <w:rFonts w:ascii="Arial" w:hAnsi="Arial" w:cs="Arial"/>
                <w:color w:val="000000"/>
              </w:rPr>
            </w:pPr>
            <w:r w:rsidRPr="00F92235">
              <w:rPr>
                <w:rFonts w:ascii="Arial" w:hAnsi="Arial" w:cs="Arial"/>
                <w:color w:val="000000"/>
              </w:rPr>
              <w:t xml:space="preserve"> </w:t>
            </w:r>
            <w:r w:rsidRPr="00F92235">
              <w:rPr>
                <w:rFonts w:ascii="Arial" w:hAnsi="Arial" w:cs="Arial"/>
                <w:b/>
                <w:bCs/>
                <w:color w:val="000000"/>
              </w:rPr>
              <w:t xml:space="preserve">Further information on equality, diversity and inclusion </w:t>
            </w:r>
          </w:p>
          <w:p w:rsidR="00DA21CC" w:rsidRPr="00F92235" w:rsidRDefault="00DA21CC" w:rsidP="00BD65CE">
            <w:pPr>
              <w:adjustRightInd w:val="0"/>
              <w:rPr>
                <w:rFonts w:ascii="Arial" w:hAnsi="Arial" w:cs="Arial"/>
                <w:color w:val="000000"/>
              </w:rPr>
            </w:pPr>
          </w:p>
          <w:p w:rsidR="00DA21CC" w:rsidRPr="00F92235" w:rsidRDefault="00DA21CC" w:rsidP="00BD65CE">
            <w:pPr>
              <w:adjustRightInd w:val="0"/>
              <w:rPr>
                <w:rFonts w:ascii="Arial" w:hAnsi="Arial" w:cs="Arial"/>
                <w:color w:val="000000"/>
              </w:rPr>
            </w:pPr>
            <w:r w:rsidRPr="00F92235">
              <w:rPr>
                <w:rFonts w:ascii="Arial" w:hAnsi="Arial" w:cs="Arial"/>
                <w:color w:val="000000"/>
              </w:rPr>
              <w:t>There is an enormous amount of equality, diversity and inclusion information available. Sometimes you might be best off using an internet search engine to pose your question, and also thinking about all of the academic research we have easy access to through online journals.</w:t>
            </w:r>
          </w:p>
          <w:p w:rsidR="00DA21CC" w:rsidRPr="00F92235" w:rsidRDefault="00DA21CC" w:rsidP="00BD65CE">
            <w:pPr>
              <w:adjustRightInd w:val="0"/>
              <w:rPr>
                <w:rFonts w:ascii="Arial" w:hAnsi="Arial" w:cs="Arial"/>
                <w:color w:val="000000"/>
              </w:rPr>
            </w:pPr>
          </w:p>
          <w:p w:rsidR="00DA21CC" w:rsidRPr="00F92235" w:rsidRDefault="00DA21CC" w:rsidP="00DA21CC">
            <w:pPr>
              <w:pStyle w:val="ListParagraph"/>
              <w:widowControl/>
              <w:numPr>
                <w:ilvl w:val="0"/>
                <w:numId w:val="11"/>
              </w:numPr>
              <w:adjustRightInd w:val="0"/>
              <w:contextualSpacing/>
              <w:rPr>
                <w:rFonts w:ascii="Arial" w:hAnsi="Arial" w:cs="Arial"/>
              </w:rPr>
            </w:pPr>
            <w:r w:rsidRPr="00F92235">
              <w:rPr>
                <w:rFonts w:ascii="Arial" w:hAnsi="Arial" w:cs="Arial"/>
                <w:color w:val="000000"/>
              </w:rPr>
              <w:t xml:space="preserve">LSE is a member of Advance HE which advises on and researches equality, diversity and inclusion within the higher education sector. Anyone can register with them using their LSE email address to access their information, advice and guidance and you can search by function as well as by protected group: </w:t>
            </w:r>
            <w:hyperlink r:id="rId15" w:history="1">
              <w:r w:rsidRPr="00F92235">
                <w:rPr>
                  <w:rStyle w:val="Hyperlink"/>
                  <w:rFonts w:ascii="Arial" w:hAnsi="Arial" w:cs="Arial"/>
                </w:rPr>
                <w:t>https://www.ecu.ac.uk/guidance-resources/</w:t>
              </w:r>
            </w:hyperlink>
            <w:r w:rsidRPr="00F92235">
              <w:rPr>
                <w:rFonts w:ascii="Arial" w:hAnsi="Arial" w:cs="Arial"/>
              </w:rPr>
              <w:t xml:space="preserve"> . </w:t>
            </w:r>
          </w:p>
          <w:p w:rsidR="00DA21CC" w:rsidRPr="00F92235" w:rsidRDefault="00DA21CC" w:rsidP="00BD65CE">
            <w:pPr>
              <w:adjustRightInd w:val="0"/>
              <w:rPr>
                <w:rFonts w:ascii="Arial" w:hAnsi="Arial" w:cs="Arial"/>
              </w:rPr>
            </w:pPr>
          </w:p>
          <w:p w:rsidR="00DA21CC" w:rsidRPr="00F92235" w:rsidRDefault="00DA21CC" w:rsidP="00BD65CE">
            <w:pPr>
              <w:adjustRightInd w:val="0"/>
              <w:ind w:left="709"/>
              <w:rPr>
                <w:rFonts w:ascii="Arial" w:hAnsi="Arial" w:cs="Arial"/>
                <w:color w:val="000000"/>
              </w:rPr>
            </w:pPr>
            <w:r w:rsidRPr="00F92235">
              <w:rPr>
                <w:rFonts w:ascii="Arial" w:hAnsi="Arial" w:cs="Arial"/>
              </w:rPr>
              <w:t xml:space="preserve">Their higher education statistical report is useful: </w:t>
            </w:r>
            <w:hyperlink r:id="rId16" w:history="1">
              <w:r w:rsidRPr="00F92235">
                <w:rPr>
                  <w:rStyle w:val="Hyperlink"/>
                  <w:rFonts w:ascii="Arial" w:hAnsi="Arial" w:cs="Arial"/>
                </w:rPr>
                <w:t>https://www.ecu.ac.uk/publications/equality-higher-education-statistical-report-2018/</w:t>
              </w:r>
            </w:hyperlink>
          </w:p>
          <w:p w:rsidR="00DA21CC" w:rsidRPr="00F92235" w:rsidRDefault="00DA21CC" w:rsidP="00BD65CE">
            <w:pPr>
              <w:adjustRightInd w:val="0"/>
              <w:rPr>
                <w:rFonts w:ascii="Arial" w:hAnsi="Arial" w:cs="Arial"/>
                <w:color w:val="000000"/>
              </w:rPr>
            </w:pPr>
          </w:p>
          <w:p w:rsidR="00DA21CC" w:rsidRPr="00F92235" w:rsidRDefault="00DA21CC" w:rsidP="00DA21CC">
            <w:pPr>
              <w:pStyle w:val="ListParagraph"/>
              <w:widowControl/>
              <w:numPr>
                <w:ilvl w:val="0"/>
                <w:numId w:val="11"/>
              </w:numPr>
              <w:adjustRightInd w:val="0"/>
              <w:contextualSpacing/>
              <w:rPr>
                <w:rFonts w:ascii="Arial" w:hAnsi="Arial" w:cs="Arial"/>
                <w:color w:val="000000"/>
              </w:rPr>
            </w:pPr>
            <w:r w:rsidRPr="00F92235">
              <w:rPr>
                <w:rFonts w:ascii="Arial" w:hAnsi="Arial" w:cs="Arial"/>
                <w:color w:val="000000"/>
              </w:rPr>
              <w:t xml:space="preserve">National Union of Students (NUS): </w:t>
            </w:r>
            <w:hyperlink r:id="rId17" w:history="1">
              <w:r w:rsidRPr="00F92235">
                <w:rPr>
                  <w:rStyle w:val="Hyperlink"/>
                  <w:rFonts w:ascii="Arial" w:hAnsi="Arial" w:cs="Arial"/>
                </w:rPr>
                <w:t>https://www.nus.org.uk/en/take-action/</w:t>
              </w:r>
            </w:hyperlink>
          </w:p>
          <w:p w:rsidR="00DA21CC" w:rsidRPr="00F92235" w:rsidRDefault="00DA21CC" w:rsidP="00DA21CC">
            <w:pPr>
              <w:pStyle w:val="ListParagraph"/>
              <w:widowControl/>
              <w:numPr>
                <w:ilvl w:val="0"/>
                <w:numId w:val="11"/>
              </w:numPr>
              <w:adjustRightInd w:val="0"/>
              <w:contextualSpacing/>
              <w:rPr>
                <w:rFonts w:ascii="Arial" w:hAnsi="Arial" w:cs="Arial"/>
                <w:color w:val="000000"/>
              </w:rPr>
            </w:pPr>
            <w:r w:rsidRPr="00F92235">
              <w:rPr>
                <w:rFonts w:ascii="Arial" w:hAnsi="Arial" w:cs="Arial"/>
                <w:color w:val="000000"/>
              </w:rPr>
              <w:t xml:space="preserve">Office for Students: </w:t>
            </w:r>
            <w:hyperlink r:id="rId18" w:history="1">
              <w:r w:rsidRPr="00F92235">
                <w:rPr>
                  <w:rStyle w:val="Hyperlink"/>
                  <w:rFonts w:ascii="Arial" w:hAnsi="Arial" w:cs="Arial"/>
                </w:rPr>
                <w:t>https://www.officeforstudents.org.uk/advice-and-guidance/promoting-equal-opportunities/</w:t>
              </w:r>
            </w:hyperlink>
          </w:p>
          <w:p w:rsidR="00DA21CC" w:rsidRPr="00F92235" w:rsidRDefault="00DA21CC" w:rsidP="00DA21CC">
            <w:pPr>
              <w:pStyle w:val="ListParagraph"/>
              <w:widowControl/>
              <w:numPr>
                <w:ilvl w:val="0"/>
                <w:numId w:val="11"/>
              </w:numPr>
              <w:adjustRightInd w:val="0"/>
              <w:contextualSpacing/>
              <w:rPr>
                <w:rFonts w:ascii="Arial" w:hAnsi="Arial" w:cs="Arial"/>
                <w:color w:val="000000"/>
              </w:rPr>
            </w:pPr>
            <w:r w:rsidRPr="00F92235">
              <w:rPr>
                <w:rFonts w:ascii="Arial" w:hAnsi="Arial" w:cs="Arial"/>
                <w:color w:val="000000"/>
              </w:rPr>
              <w:t xml:space="preserve">Equality and Human Rights Commission (Publications and research reports): http://www.equalityhumanrights.com/ </w:t>
            </w:r>
          </w:p>
          <w:p w:rsidR="00DA21CC" w:rsidRPr="00F92235" w:rsidRDefault="00DA21CC" w:rsidP="00DA21CC">
            <w:pPr>
              <w:pStyle w:val="ListParagraph"/>
              <w:widowControl/>
              <w:numPr>
                <w:ilvl w:val="0"/>
                <w:numId w:val="11"/>
              </w:numPr>
              <w:adjustRightInd w:val="0"/>
              <w:contextualSpacing/>
              <w:rPr>
                <w:rFonts w:ascii="Arial" w:hAnsi="Arial" w:cs="Arial"/>
                <w:color w:val="000000"/>
              </w:rPr>
            </w:pPr>
            <w:r w:rsidRPr="00F92235">
              <w:rPr>
                <w:rFonts w:ascii="Arial" w:hAnsi="Arial" w:cs="Arial"/>
                <w:color w:val="000000"/>
              </w:rPr>
              <w:t xml:space="preserve">Government Equalities Office website (Guidance and public policy): </w:t>
            </w:r>
            <w:hyperlink r:id="rId19" w:history="1">
              <w:r w:rsidRPr="00F92235">
                <w:rPr>
                  <w:rStyle w:val="Hyperlink"/>
                  <w:rFonts w:ascii="Arial" w:hAnsi="Arial" w:cs="Arial"/>
                </w:rPr>
                <w:t>https://www.gov.uk/government/organisations/government-equalities-office</w:t>
              </w:r>
            </w:hyperlink>
          </w:p>
          <w:p w:rsidR="00DA21CC" w:rsidRDefault="00DA21CC" w:rsidP="00DA21CC">
            <w:pPr>
              <w:pStyle w:val="ListParagraph"/>
              <w:widowControl/>
              <w:numPr>
                <w:ilvl w:val="0"/>
                <w:numId w:val="11"/>
              </w:numPr>
              <w:adjustRightInd w:val="0"/>
              <w:contextualSpacing/>
              <w:rPr>
                <w:rFonts w:ascii="Arial" w:hAnsi="Arial" w:cs="Arial"/>
                <w:color w:val="000000"/>
              </w:rPr>
            </w:pPr>
            <w:r w:rsidRPr="00F92235">
              <w:rPr>
                <w:rFonts w:ascii="Arial" w:hAnsi="Arial" w:cs="Arial"/>
                <w:color w:val="000000"/>
              </w:rPr>
              <w:t xml:space="preserve">Office for National Statistics website: http://www.statistics.gov.uk/default.asp </w:t>
            </w:r>
          </w:p>
          <w:p w:rsidR="00CD6469" w:rsidRPr="00F92235" w:rsidRDefault="00CD6469" w:rsidP="00DA21CC">
            <w:pPr>
              <w:pStyle w:val="ListParagraph"/>
              <w:widowControl/>
              <w:numPr>
                <w:ilvl w:val="0"/>
                <w:numId w:val="11"/>
              </w:numPr>
              <w:adjustRightInd w:val="0"/>
              <w:contextualSpacing/>
              <w:rPr>
                <w:rFonts w:ascii="Arial" w:hAnsi="Arial" w:cs="Arial"/>
                <w:color w:val="000000"/>
              </w:rPr>
            </w:pPr>
            <w:r>
              <w:rPr>
                <w:rFonts w:ascii="Arial" w:hAnsi="Arial" w:cs="Arial"/>
                <w:color w:val="000000"/>
              </w:rPr>
              <w:t xml:space="preserve">Our own </w:t>
            </w:r>
            <w:hyperlink r:id="rId20" w:history="1">
              <w:r w:rsidRPr="00CD6469">
                <w:rPr>
                  <w:rStyle w:val="Hyperlink"/>
                  <w:rFonts w:ascii="Arial" w:hAnsi="Arial" w:cs="Arial"/>
                </w:rPr>
                <w:t>Students’ Union</w:t>
              </w:r>
            </w:hyperlink>
            <w:r>
              <w:rPr>
                <w:rFonts w:ascii="Arial" w:hAnsi="Arial" w:cs="Arial"/>
                <w:color w:val="000000"/>
              </w:rPr>
              <w:t xml:space="preserve"> can be a sources of consultation if the policy involves students.</w:t>
            </w:r>
          </w:p>
        </w:tc>
      </w:tr>
      <w:tr w:rsidR="00DA21CC" w:rsidRPr="00F92235" w:rsidTr="0030344E">
        <w:trPr>
          <w:trHeight w:val="266"/>
        </w:trPr>
        <w:tc>
          <w:tcPr>
            <w:tcW w:w="3369" w:type="dxa"/>
          </w:tcPr>
          <w:p w:rsidR="00DA21CC" w:rsidRPr="00F92235" w:rsidRDefault="00DA21CC" w:rsidP="00BD65CE">
            <w:pPr>
              <w:adjustRightInd w:val="0"/>
              <w:rPr>
                <w:rFonts w:ascii="Arial" w:hAnsi="Arial" w:cs="Arial"/>
                <w:color w:val="000000"/>
              </w:rPr>
            </w:pPr>
            <w:r w:rsidRPr="00F92235">
              <w:rPr>
                <w:rFonts w:ascii="Arial" w:hAnsi="Arial" w:cs="Arial"/>
                <w:b/>
                <w:bCs/>
                <w:color w:val="000000"/>
              </w:rPr>
              <w:t xml:space="preserve">Age </w:t>
            </w:r>
          </w:p>
        </w:tc>
        <w:tc>
          <w:tcPr>
            <w:tcW w:w="5953" w:type="dxa"/>
          </w:tcPr>
          <w:p w:rsidR="00DA21CC" w:rsidRPr="00F92235" w:rsidRDefault="00DA21CC" w:rsidP="00BD65CE">
            <w:pPr>
              <w:adjustRightInd w:val="0"/>
              <w:rPr>
                <w:rFonts w:ascii="Arial" w:hAnsi="Arial" w:cs="Arial"/>
              </w:rPr>
            </w:pPr>
            <w:r w:rsidRPr="00F92235">
              <w:rPr>
                <w:rFonts w:ascii="Arial" w:hAnsi="Arial" w:cs="Arial"/>
              </w:rPr>
              <w:t xml:space="preserve">NUS: </w:t>
            </w:r>
            <w:hyperlink r:id="rId21" w:history="1">
              <w:r w:rsidRPr="00F92235">
                <w:rPr>
                  <w:rStyle w:val="Hyperlink"/>
                  <w:rFonts w:ascii="Arial" w:hAnsi="Arial" w:cs="Arial"/>
                </w:rPr>
                <w:t>https://www.nus.org.uk/en/news/new-website-for-mature-students/</w:t>
              </w:r>
            </w:hyperlink>
          </w:p>
          <w:p w:rsidR="00DA21CC" w:rsidRPr="00F92235" w:rsidRDefault="00DA21CC" w:rsidP="00BD65CE">
            <w:pPr>
              <w:adjustRightInd w:val="0"/>
              <w:rPr>
                <w:rFonts w:ascii="Arial" w:hAnsi="Arial" w:cs="Arial"/>
              </w:rPr>
            </w:pPr>
            <w:r w:rsidRPr="00F92235">
              <w:rPr>
                <w:rFonts w:ascii="Arial" w:hAnsi="Arial" w:cs="Arial"/>
              </w:rPr>
              <w:t xml:space="preserve">Age UK:  </w:t>
            </w:r>
            <w:hyperlink r:id="rId22" w:history="1">
              <w:r w:rsidRPr="00F92235">
                <w:rPr>
                  <w:rStyle w:val="Hyperlink"/>
                  <w:rFonts w:ascii="Arial" w:hAnsi="Arial" w:cs="Arial"/>
                </w:rPr>
                <w:t>https://www.ageuk.org.uk/information-advice/work-learning/retirement/retirement-age/</w:t>
              </w:r>
            </w:hyperlink>
          </w:p>
        </w:tc>
      </w:tr>
      <w:tr w:rsidR="00DA21CC" w:rsidRPr="00F92235" w:rsidTr="0030344E">
        <w:trPr>
          <w:trHeight w:val="705"/>
        </w:trPr>
        <w:tc>
          <w:tcPr>
            <w:tcW w:w="3369" w:type="dxa"/>
          </w:tcPr>
          <w:p w:rsidR="00DA21CC" w:rsidRPr="00F92235" w:rsidRDefault="00DA21CC" w:rsidP="00BD65CE">
            <w:pPr>
              <w:adjustRightInd w:val="0"/>
              <w:rPr>
                <w:rFonts w:ascii="Arial" w:hAnsi="Arial" w:cs="Arial"/>
                <w:color w:val="000000"/>
              </w:rPr>
            </w:pPr>
            <w:r w:rsidRPr="00F92235">
              <w:rPr>
                <w:rFonts w:ascii="Arial" w:hAnsi="Arial" w:cs="Arial"/>
                <w:b/>
                <w:bCs/>
                <w:color w:val="000000"/>
              </w:rPr>
              <w:t xml:space="preserve">Disability </w:t>
            </w:r>
          </w:p>
        </w:tc>
        <w:tc>
          <w:tcPr>
            <w:tcW w:w="5953" w:type="dxa"/>
          </w:tcPr>
          <w:p w:rsidR="00DA21CC" w:rsidRPr="00F92235" w:rsidRDefault="00DA21CC" w:rsidP="00BD65CE">
            <w:pPr>
              <w:adjustRightInd w:val="0"/>
              <w:rPr>
                <w:rFonts w:ascii="Arial" w:hAnsi="Arial" w:cs="Arial"/>
                <w:color w:val="000000"/>
              </w:rPr>
            </w:pPr>
            <w:r w:rsidRPr="00F92235">
              <w:rPr>
                <w:rFonts w:ascii="Arial" w:hAnsi="Arial" w:cs="Arial"/>
              </w:rPr>
              <w:t xml:space="preserve">Business Disability Forum: LSE are members of the Forum and you can use you email address to register with them and access their information, advice and guidance: </w:t>
            </w:r>
            <w:hyperlink r:id="rId23" w:history="1">
              <w:r w:rsidRPr="00F92235">
                <w:rPr>
                  <w:rStyle w:val="Hyperlink"/>
                  <w:rFonts w:ascii="Arial" w:hAnsi="Arial" w:cs="Arial"/>
                </w:rPr>
                <w:t>https://members.businessdisabilityforum.org.uk/account/register/</w:t>
              </w:r>
            </w:hyperlink>
          </w:p>
          <w:p w:rsidR="00DA21CC" w:rsidRPr="00F92235" w:rsidRDefault="00DA21CC" w:rsidP="00BD65CE">
            <w:pPr>
              <w:adjustRightInd w:val="0"/>
              <w:rPr>
                <w:rFonts w:ascii="Arial" w:hAnsi="Arial" w:cs="Arial"/>
                <w:color w:val="000000"/>
              </w:rPr>
            </w:pPr>
          </w:p>
          <w:p w:rsidR="00DA21CC" w:rsidRPr="00F92235" w:rsidRDefault="00DA21CC" w:rsidP="00BD65CE">
            <w:pPr>
              <w:adjustRightInd w:val="0"/>
              <w:rPr>
                <w:rFonts w:ascii="Arial" w:hAnsi="Arial" w:cs="Arial"/>
              </w:rPr>
            </w:pPr>
            <w:r w:rsidRPr="00F92235">
              <w:rPr>
                <w:rFonts w:ascii="Arial" w:hAnsi="Arial" w:cs="Arial"/>
              </w:rPr>
              <w:t xml:space="preserve">National Association of Disabled Staff Networks: </w:t>
            </w:r>
            <w:hyperlink r:id="rId24" w:history="1">
              <w:r w:rsidRPr="00F92235">
                <w:rPr>
                  <w:rStyle w:val="Hyperlink"/>
                  <w:rFonts w:ascii="Arial" w:hAnsi="Arial" w:cs="Arial"/>
                </w:rPr>
                <w:t>https://nadsn-uk.org/resources/</w:t>
              </w:r>
            </w:hyperlink>
          </w:p>
          <w:p w:rsidR="00DA21CC" w:rsidRPr="00F92235" w:rsidRDefault="00DA21CC" w:rsidP="00BD65CE">
            <w:pPr>
              <w:adjustRightInd w:val="0"/>
              <w:rPr>
                <w:rFonts w:ascii="Arial" w:hAnsi="Arial" w:cs="Arial"/>
                <w:color w:val="000000"/>
              </w:rPr>
            </w:pPr>
            <w:r w:rsidRPr="00F92235">
              <w:rPr>
                <w:rFonts w:ascii="Arial" w:hAnsi="Arial" w:cs="Arial"/>
                <w:color w:val="000000"/>
              </w:rPr>
              <w:t xml:space="preserve"> </w:t>
            </w:r>
          </w:p>
        </w:tc>
      </w:tr>
      <w:tr w:rsidR="00DA21CC" w:rsidRPr="00F92235" w:rsidTr="0030344E">
        <w:trPr>
          <w:trHeight w:val="705"/>
        </w:trPr>
        <w:tc>
          <w:tcPr>
            <w:tcW w:w="3369" w:type="dxa"/>
          </w:tcPr>
          <w:p w:rsidR="00DA21CC" w:rsidRPr="00F92235" w:rsidRDefault="00DA21CC" w:rsidP="00BD65CE">
            <w:pPr>
              <w:adjustRightInd w:val="0"/>
              <w:rPr>
                <w:rFonts w:ascii="Arial" w:hAnsi="Arial" w:cs="Arial"/>
                <w:color w:val="000000"/>
              </w:rPr>
            </w:pPr>
            <w:r w:rsidRPr="00F92235">
              <w:rPr>
                <w:rFonts w:ascii="Arial" w:hAnsi="Arial" w:cs="Arial"/>
                <w:b/>
                <w:bCs/>
                <w:color w:val="000000"/>
              </w:rPr>
              <w:t xml:space="preserve">Gender </w:t>
            </w:r>
          </w:p>
        </w:tc>
        <w:tc>
          <w:tcPr>
            <w:tcW w:w="5953" w:type="dxa"/>
          </w:tcPr>
          <w:p w:rsidR="00DA21CC" w:rsidRPr="00F92235" w:rsidRDefault="00DA21CC" w:rsidP="00BD65CE">
            <w:pPr>
              <w:adjustRightInd w:val="0"/>
              <w:rPr>
                <w:rFonts w:ascii="Arial" w:hAnsi="Arial" w:cs="Arial"/>
              </w:rPr>
            </w:pPr>
            <w:r w:rsidRPr="00F92235">
              <w:rPr>
                <w:rFonts w:ascii="Arial" w:hAnsi="Arial" w:cs="Arial"/>
              </w:rPr>
              <w:t xml:space="preserve">Athena SWAN information (Athena SWAN is the higher education gender equality charter mark): </w:t>
            </w:r>
            <w:hyperlink r:id="rId25" w:history="1">
              <w:r w:rsidRPr="00F92235">
                <w:rPr>
                  <w:rStyle w:val="Hyperlink"/>
                  <w:rFonts w:ascii="Arial" w:hAnsi="Arial" w:cs="Arial"/>
                </w:rPr>
                <w:t>https://www.ecu.ac.uk/equality-charters/athena-swan/</w:t>
              </w:r>
            </w:hyperlink>
          </w:p>
          <w:p w:rsidR="00DA21CC" w:rsidRPr="00F92235" w:rsidRDefault="00DA21CC" w:rsidP="00BD65CE">
            <w:pPr>
              <w:adjustRightInd w:val="0"/>
              <w:rPr>
                <w:rFonts w:ascii="Arial" w:hAnsi="Arial" w:cs="Arial"/>
              </w:rPr>
            </w:pPr>
            <w:r w:rsidRPr="00F92235">
              <w:rPr>
                <w:rFonts w:ascii="Arial" w:hAnsi="Arial" w:cs="Arial"/>
              </w:rPr>
              <w:t xml:space="preserve">Fawcett Society: </w:t>
            </w:r>
            <w:hyperlink r:id="rId26" w:history="1">
              <w:r w:rsidRPr="00F92235">
                <w:rPr>
                  <w:rStyle w:val="Hyperlink"/>
                  <w:rFonts w:ascii="Arial" w:hAnsi="Arial" w:cs="Arial"/>
                </w:rPr>
                <w:t>https://www.fawcettsociety.org.uk/</w:t>
              </w:r>
            </w:hyperlink>
          </w:p>
          <w:p w:rsidR="00DA21CC" w:rsidRPr="00F92235" w:rsidRDefault="00DA21CC" w:rsidP="00BD65CE">
            <w:pPr>
              <w:adjustRightInd w:val="0"/>
              <w:rPr>
                <w:rFonts w:ascii="Arial" w:hAnsi="Arial" w:cs="Arial"/>
                <w:color w:val="000000"/>
              </w:rPr>
            </w:pPr>
          </w:p>
        </w:tc>
      </w:tr>
      <w:tr w:rsidR="00DA21CC" w:rsidRPr="00F92235" w:rsidTr="0030344E">
        <w:trPr>
          <w:trHeight w:val="705"/>
        </w:trPr>
        <w:tc>
          <w:tcPr>
            <w:tcW w:w="3369" w:type="dxa"/>
          </w:tcPr>
          <w:p w:rsidR="00DA21CC" w:rsidRPr="00F92235" w:rsidRDefault="00DA21CC" w:rsidP="00BD65CE">
            <w:pPr>
              <w:adjustRightInd w:val="0"/>
              <w:rPr>
                <w:rFonts w:ascii="Arial" w:hAnsi="Arial" w:cs="Arial"/>
                <w:color w:val="000000"/>
              </w:rPr>
            </w:pPr>
            <w:r w:rsidRPr="00F92235">
              <w:rPr>
                <w:rFonts w:ascii="Arial" w:hAnsi="Arial" w:cs="Arial"/>
                <w:b/>
                <w:bCs/>
                <w:color w:val="000000"/>
              </w:rPr>
              <w:t xml:space="preserve">Gender Identity </w:t>
            </w:r>
          </w:p>
        </w:tc>
        <w:tc>
          <w:tcPr>
            <w:tcW w:w="5953" w:type="dxa"/>
          </w:tcPr>
          <w:p w:rsidR="00DA21CC" w:rsidRPr="00F92235" w:rsidRDefault="00DA21CC" w:rsidP="00BD65CE">
            <w:pPr>
              <w:adjustRightInd w:val="0"/>
              <w:rPr>
                <w:rFonts w:ascii="Arial" w:hAnsi="Arial" w:cs="Arial"/>
              </w:rPr>
            </w:pPr>
            <w:r w:rsidRPr="00F92235">
              <w:rPr>
                <w:rFonts w:ascii="Arial" w:hAnsi="Arial" w:cs="Arial"/>
              </w:rPr>
              <w:t xml:space="preserve">Advance HE: </w:t>
            </w:r>
            <w:hyperlink r:id="rId27" w:history="1">
              <w:r w:rsidRPr="00F92235">
                <w:rPr>
                  <w:rStyle w:val="Hyperlink"/>
                  <w:rFonts w:ascii="Arial" w:hAnsi="Arial" w:cs="Arial"/>
                </w:rPr>
                <w:t>https://www.ecu.ac.uk/guidance-resources/inclusive-environment/providing-support/trans-people/</w:t>
              </w:r>
            </w:hyperlink>
          </w:p>
          <w:p w:rsidR="00DA21CC" w:rsidRPr="00F92235" w:rsidRDefault="00DA21CC" w:rsidP="00BD65CE">
            <w:pPr>
              <w:adjustRightInd w:val="0"/>
              <w:rPr>
                <w:rFonts w:ascii="Arial" w:hAnsi="Arial" w:cs="Arial"/>
              </w:rPr>
            </w:pPr>
            <w:r w:rsidRPr="00F92235">
              <w:rPr>
                <w:rFonts w:ascii="Arial" w:hAnsi="Arial" w:cs="Arial"/>
              </w:rPr>
              <w:t xml:space="preserve">GIRES: </w:t>
            </w:r>
            <w:hyperlink r:id="rId28" w:history="1">
              <w:r w:rsidRPr="00F92235">
                <w:rPr>
                  <w:rStyle w:val="Hyperlink"/>
                  <w:rFonts w:ascii="Arial" w:hAnsi="Arial" w:cs="Arial"/>
                </w:rPr>
                <w:t>https://www.gires.org.uk/</w:t>
              </w:r>
            </w:hyperlink>
          </w:p>
          <w:p w:rsidR="00DA21CC" w:rsidRPr="00F92235" w:rsidRDefault="00DA21CC" w:rsidP="00BD65CE">
            <w:pPr>
              <w:adjustRightInd w:val="0"/>
              <w:rPr>
                <w:rFonts w:ascii="Arial" w:hAnsi="Arial" w:cs="Arial"/>
                <w:color w:val="000000"/>
              </w:rPr>
            </w:pPr>
            <w:r w:rsidRPr="00F92235">
              <w:rPr>
                <w:rFonts w:ascii="Arial" w:hAnsi="Arial" w:cs="Arial"/>
              </w:rPr>
              <w:lastRenderedPageBreak/>
              <w:t xml:space="preserve">Stonewall: </w:t>
            </w:r>
            <w:hyperlink r:id="rId29" w:history="1">
              <w:r w:rsidRPr="00F92235">
                <w:rPr>
                  <w:rStyle w:val="Hyperlink"/>
                  <w:rFonts w:ascii="Arial" w:hAnsi="Arial" w:cs="Arial"/>
                </w:rPr>
                <w:t>https://www.stonewall.org.uk/resources/trans-inclusion-global-workplace-part-1</w:t>
              </w:r>
            </w:hyperlink>
          </w:p>
        </w:tc>
      </w:tr>
      <w:tr w:rsidR="00DA21CC" w:rsidRPr="00F92235" w:rsidTr="0030344E">
        <w:trPr>
          <w:trHeight w:val="705"/>
        </w:trPr>
        <w:tc>
          <w:tcPr>
            <w:tcW w:w="3369" w:type="dxa"/>
          </w:tcPr>
          <w:p w:rsidR="00DA21CC" w:rsidRPr="00F92235" w:rsidRDefault="00DA21CC" w:rsidP="00BD65CE">
            <w:pPr>
              <w:pStyle w:val="Default"/>
              <w:rPr>
                <w:rFonts w:ascii="Arial" w:hAnsi="Arial" w:cs="Arial"/>
                <w:sz w:val="22"/>
                <w:szCs w:val="22"/>
              </w:rPr>
            </w:pPr>
            <w:r w:rsidRPr="00F92235">
              <w:rPr>
                <w:rFonts w:ascii="Arial" w:hAnsi="Arial" w:cs="Arial"/>
                <w:b/>
                <w:bCs/>
                <w:sz w:val="22"/>
                <w:szCs w:val="22"/>
              </w:rPr>
              <w:lastRenderedPageBreak/>
              <w:t xml:space="preserve">Marriage and Civil Partnership </w:t>
            </w:r>
          </w:p>
        </w:tc>
        <w:tc>
          <w:tcPr>
            <w:tcW w:w="5953" w:type="dxa"/>
          </w:tcPr>
          <w:p w:rsidR="00DA21CC" w:rsidRPr="00F92235" w:rsidRDefault="00DA21CC" w:rsidP="00BD65CE">
            <w:pPr>
              <w:pStyle w:val="Default"/>
              <w:rPr>
                <w:rFonts w:ascii="Arial" w:hAnsi="Arial" w:cs="Arial"/>
                <w:sz w:val="22"/>
                <w:szCs w:val="22"/>
              </w:rPr>
            </w:pPr>
            <w:r w:rsidRPr="00F92235">
              <w:rPr>
                <w:rFonts w:ascii="Arial" w:hAnsi="Arial" w:cs="Arial"/>
                <w:sz w:val="22"/>
                <w:szCs w:val="22"/>
              </w:rPr>
              <w:t xml:space="preserve">Stonewall: </w:t>
            </w:r>
            <w:hyperlink r:id="rId30" w:history="1">
              <w:r w:rsidRPr="00F92235">
                <w:rPr>
                  <w:rStyle w:val="Hyperlink"/>
                  <w:rFonts w:ascii="Arial" w:hAnsi="Arial" w:cs="Arial"/>
                  <w:sz w:val="22"/>
                  <w:szCs w:val="22"/>
                </w:rPr>
                <w:t>https://www.stonewall.org.uk/help-advice/partnership-rights</w:t>
              </w:r>
            </w:hyperlink>
            <w:r w:rsidRPr="00F92235">
              <w:rPr>
                <w:rFonts w:ascii="Arial" w:hAnsi="Arial" w:cs="Arial"/>
                <w:sz w:val="22"/>
                <w:szCs w:val="22"/>
              </w:rPr>
              <w:t xml:space="preserve"> </w:t>
            </w:r>
          </w:p>
        </w:tc>
      </w:tr>
      <w:tr w:rsidR="00DA21CC" w:rsidRPr="00F92235" w:rsidTr="0030344E">
        <w:trPr>
          <w:trHeight w:val="705"/>
        </w:trPr>
        <w:tc>
          <w:tcPr>
            <w:tcW w:w="3369" w:type="dxa"/>
          </w:tcPr>
          <w:p w:rsidR="00DA21CC" w:rsidRPr="00F92235" w:rsidRDefault="00DA21CC" w:rsidP="00BD65CE">
            <w:pPr>
              <w:pStyle w:val="Default"/>
              <w:rPr>
                <w:rFonts w:ascii="Arial" w:hAnsi="Arial" w:cs="Arial"/>
                <w:sz w:val="22"/>
                <w:szCs w:val="22"/>
              </w:rPr>
            </w:pPr>
            <w:r w:rsidRPr="00F92235">
              <w:rPr>
                <w:rFonts w:ascii="Arial" w:hAnsi="Arial" w:cs="Arial"/>
                <w:b/>
                <w:bCs/>
                <w:sz w:val="22"/>
                <w:szCs w:val="22"/>
              </w:rPr>
              <w:t xml:space="preserve">Pregnancy and Maternity (including Surrogacy and Adoption) </w:t>
            </w:r>
          </w:p>
        </w:tc>
        <w:tc>
          <w:tcPr>
            <w:tcW w:w="5953" w:type="dxa"/>
          </w:tcPr>
          <w:p w:rsidR="00DA21CC" w:rsidRPr="00F92235" w:rsidRDefault="00DA21CC" w:rsidP="00BD65CE">
            <w:pPr>
              <w:pStyle w:val="Default"/>
              <w:rPr>
                <w:rFonts w:ascii="Arial" w:hAnsi="Arial" w:cs="Arial"/>
                <w:sz w:val="22"/>
                <w:szCs w:val="22"/>
              </w:rPr>
            </w:pPr>
            <w:r w:rsidRPr="00F92235">
              <w:rPr>
                <w:rFonts w:ascii="Arial" w:hAnsi="Arial" w:cs="Arial"/>
                <w:sz w:val="22"/>
                <w:szCs w:val="22"/>
              </w:rPr>
              <w:t xml:space="preserve">Advance HE: </w:t>
            </w:r>
            <w:hyperlink r:id="rId31" w:history="1">
              <w:r w:rsidRPr="00F92235">
                <w:rPr>
                  <w:rStyle w:val="Hyperlink"/>
                  <w:rFonts w:ascii="Arial" w:hAnsi="Arial" w:cs="Arial"/>
                  <w:sz w:val="22"/>
                  <w:szCs w:val="22"/>
                </w:rPr>
                <w:t>https://www.ecu.ac.uk/publications/student-pregnancy-and-maternity/</w:t>
              </w:r>
            </w:hyperlink>
          </w:p>
          <w:p w:rsidR="00DA21CC" w:rsidRPr="00F92235" w:rsidRDefault="00DA21CC" w:rsidP="00BD65CE">
            <w:pPr>
              <w:pStyle w:val="Default"/>
              <w:rPr>
                <w:rFonts w:ascii="Arial" w:hAnsi="Arial" w:cs="Arial"/>
                <w:sz w:val="22"/>
                <w:szCs w:val="22"/>
              </w:rPr>
            </w:pPr>
          </w:p>
          <w:p w:rsidR="00DA21CC" w:rsidRPr="00F92235" w:rsidRDefault="00DA21CC" w:rsidP="00BD65CE">
            <w:pPr>
              <w:pStyle w:val="Default"/>
              <w:rPr>
                <w:rFonts w:ascii="Arial" w:hAnsi="Arial" w:cs="Arial"/>
                <w:sz w:val="22"/>
                <w:szCs w:val="22"/>
              </w:rPr>
            </w:pPr>
            <w:r w:rsidRPr="00F92235">
              <w:rPr>
                <w:rFonts w:ascii="Arial" w:hAnsi="Arial" w:cs="Arial"/>
                <w:sz w:val="22"/>
                <w:szCs w:val="22"/>
              </w:rPr>
              <w:t xml:space="preserve">Research Councils UK guidance: </w:t>
            </w:r>
            <w:hyperlink r:id="rId32" w:history="1">
              <w:r w:rsidRPr="00F92235">
                <w:rPr>
                  <w:rStyle w:val="Hyperlink"/>
                  <w:rFonts w:ascii="Arial" w:hAnsi="Arial" w:cs="Arial"/>
                  <w:sz w:val="22"/>
                  <w:szCs w:val="22"/>
                </w:rPr>
                <w:t>https://epsrc.ukri.org/files/rcukmatbriefing/</w:t>
              </w:r>
            </w:hyperlink>
            <w:r w:rsidRPr="00F92235">
              <w:rPr>
                <w:rFonts w:ascii="Arial" w:hAnsi="Arial" w:cs="Arial"/>
                <w:sz w:val="22"/>
                <w:szCs w:val="22"/>
              </w:rPr>
              <w:t xml:space="preserve"> </w:t>
            </w:r>
          </w:p>
        </w:tc>
      </w:tr>
      <w:tr w:rsidR="00DA21CC" w:rsidRPr="00F92235" w:rsidTr="0030344E">
        <w:trPr>
          <w:trHeight w:val="705"/>
        </w:trPr>
        <w:tc>
          <w:tcPr>
            <w:tcW w:w="3369" w:type="dxa"/>
          </w:tcPr>
          <w:p w:rsidR="00DA21CC" w:rsidRPr="00F92235" w:rsidRDefault="00DA21CC" w:rsidP="00BD65CE">
            <w:pPr>
              <w:pStyle w:val="Default"/>
              <w:rPr>
                <w:rFonts w:ascii="Arial" w:hAnsi="Arial" w:cs="Arial"/>
                <w:sz w:val="22"/>
                <w:szCs w:val="22"/>
              </w:rPr>
            </w:pPr>
            <w:r w:rsidRPr="00F92235">
              <w:rPr>
                <w:rFonts w:ascii="Arial" w:hAnsi="Arial" w:cs="Arial"/>
                <w:b/>
                <w:bCs/>
                <w:sz w:val="22"/>
                <w:szCs w:val="22"/>
              </w:rPr>
              <w:t xml:space="preserve">Race/ethnicity </w:t>
            </w:r>
          </w:p>
        </w:tc>
        <w:tc>
          <w:tcPr>
            <w:tcW w:w="5953" w:type="dxa"/>
          </w:tcPr>
          <w:p w:rsidR="00DA21CC" w:rsidRPr="00F92235" w:rsidRDefault="00DA21CC" w:rsidP="00BD65CE">
            <w:pPr>
              <w:pStyle w:val="Default"/>
              <w:rPr>
                <w:rFonts w:ascii="Arial" w:hAnsi="Arial" w:cs="Arial"/>
                <w:sz w:val="22"/>
                <w:szCs w:val="22"/>
              </w:rPr>
            </w:pPr>
            <w:r w:rsidRPr="00F92235">
              <w:rPr>
                <w:rFonts w:ascii="Arial" w:hAnsi="Arial" w:cs="Arial"/>
                <w:sz w:val="22"/>
                <w:szCs w:val="22"/>
              </w:rPr>
              <w:t xml:space="preserve">Advance HE: </w:t>
            </w:r>
            <w:hyperlink r:id="rId33" w:history="1">
              <w:r w:rsidRPr="00F92235">
                <w:rPr>
                  <w:rStyle w:val="Hyperlink"/>
                  <w:rFonts w:ascii="Arial" w:hAnsi="Arial" w:cs="Arial"/>
                  <w:sz w:val="22"/>
                  <w:szCs w:val="22"/>
                </w:rPr>
                <w:t>https://www.ecu.ac.uk/wp-content/uploads/2015/03/ECU_Academic-flight-from-UK-education_RR.pdf</w:t>
              </w:r>
            </w:hyperlink>
          </w:p>
          <w:p w:rsidR="00DA21CC" w:rsidRPr="00F92235" w:rsidRDefault="00DA21CC" w:rsidP="00BD65CE">
            <w:pPr>
              <w:pStyle w:val="Default"/>
              <w:rPr>
                <w:rFonts w:ascii="Arial" w:hAnsi="Arial" w:cs="Arial"/>
                <w:sz w:val="22"/>
                <w:szCs w:val="22"/>
              </w:rPr>
            </w:pPr>
            <w:r w:rsidRPr="00F92235">
              <w:rPr>
                <w:rFonts w:ascii="Arial" w:hAnsi="Arial" w:cs="Arial"/>
                <w:sz w:val="22"/>
                <w:szCs w:val="22"/>
              </w:rPr>
              <w:t xml:space="preserve">NUS: </w:t>
            </w:r>
            <w:hyperlink r:id="rId34" w:history="1">
              <w:r w:rsidRPr="00F92235">
                <w:rPr>
                  <w:rStyle w:val="Hyperlink"/>
                  <w:rFonts w:ascii="Arial" w:hAnsi="Arial" w:cs="Arial"/>
                  <w:sz w:val="22"/>
                  <w:szCs w:val="22"/>
                </w:rPr>
                <w:t>https://www.nusconnect.org.uk/campaigns/liber8-education/liberate-the-curriculum</w:t>
              </w:r>
            </w:hyperlink>
          </w:p>
          <w:p w:rsidR="00DA21CC" w:rsidRPr="00F92235" w:rsidRDefault="00DA21CC" w:rsidP="00BD65CE">
            <w:pPr>
              <w:pStyle w:val="Default"/>
              <w:rPr>
                <w:rFonts w:ascii="Arial" w:hAnsi="Arial" w:cs="Arial"/>
                <w:sz w:val="22"/>
                <w:szCs w:val="22"/>
              </w:rPr>
            </w:pPr>
            <w:r w:rsidRPr="00F92235">
              <w:rPr>
                <w:rFonts w:ascii="Arial" w:hAnsi="Arial" w:cs="Arial"/>
                <w:sz w:val="22"/>
                <w:szCs w:val="22"/>
              </w:rPr>
              <w:t xml:space="preserve">Runnymede Trust: </w:t>
            </w:r>
            <w:hyperlink r:id="rId35" w:history="1">
              <w:r w:rsidRPr="00F92235">
                <w:rPr>
                  <w:rStyle w:val="Hyperlink"/>
                  <w:rFonts w:ascii="Arial" w:hAnsi="Arial" w:cs="Arial"/>
                  <w:sz w:val="22"/>
                  <w:szCs w:val="22"/>
                </w:rPr>
                <w:t>https://www.runnymedetrust.org/</w:t>
              </w:r>
            </w:hyperlink>
          </w:p>
          <w:p w:rsidR="00DA21CC" w:rsidRPr="00F92235" w:rsidRDefault="00DA21CC" w:rsidP="00BD65CE">
            <w:pPr>
              <w:pStyle w:val="Default"/>
              <w:rPr>
                <w:rFonts w:ascii="Arial" w:hAnsi="Arial" w:cs="Arial"/>
                <w:sz w:val="22"/>
                <w:szCs w:val="22"/>
              </w:rPr>
            </w:pPr>
          </w:p>
        </w:tc>
      </w:tr>
      <w:tr w:rsidR="00DA21CC" w:rsidRPr="00F92235" w:rsidTr="0030344E">
        <w:trPr>
          <w:trHeight w:val="705"/>
        </w:trPr>
        <w:tc>
          <w:tcPr>
            <w:tcW w:w="3369" w:type="dxa"/>
          </w:tcPr>
          <w:p w:rsidR="00DA21CC" w:rsidRPr="00F92235" w:rsidRDefault="00DA21CC" w:rsidP="00BD65CE">
            <w:pPr>
              <w:pStyle w:val="Default"/>
              <w:rPr>
                <w:rFonts w:ascii="Arial" w:hAnsi="Arial" w:cs="Arial"/>
                <w:sz w:val="22"/>
                <w:szCs w:val="22"/>
              </w:rPr>
            </w:pPr>
            <w:r w:rsidRPr="00F92235">
              <w:rPr>
                <w:rFonts w:ascii="Arial" w:hAnsi="Arial" w:cs="Arial"/>
                <w:b/>
                <w:bCs/>
                <w:sz w:val="22"/>
                <w:szCs w:val="22"/>
              </w:rPr>
              <w:t xml:space="preserve">Religion or belief </w:t>
            </w:r>
          </w:p>
        </w:tc>
        <w:tc>
          <w:tcPr>
            <w:tcW w:w="5953" w:type="dxa"/>
          </w:tcPr>
          <w:p w:rsidR="00DA21CC" w:rsidRPr="00F92235" w:rsidRDefault="00DA21CC" w:rsidP="00BD65CE">
            <w:pPr>
              <w:pStyle w:val="Default"/>
              <w:rPr>
                <w:rFonts w:ascii="Arial" w:hAnsi="Arial" w:cs="Arial"/>
                <w:sz w:val="22"/>
                <w:szCs w:val="22"/>
              </w:rPr>
            </w:pPr>
            <w:r w:rsidRPr="00F92235">
              <w:rPr>
                <w:rFonts w:ascii="Arial" w:hAnsi="Arial" w:cs="Arial"/>
                <w:sz w:val="22"/>
                <w:szCs w:val="22"/>
              </w:rPr>
              <w:t xml:space="preserve">Advance HE: </w:t>
            </w:r>
            <w:hyperlink r:id="rId36" w:history="1">
              <w:r w:rsidRPr="00F92235">
                <w:rPr>
                  <w:rStyle w:val="Hyperlink"/>
                  <w:rFonts w:ascii="Arial" w:hAnsi="Arial" w:cs="Arial"/>
                  <w:sz w:val="22"/>
                  <w:szCs w:val="22"/>
                </w:rPr>
                <w:t>https://www.ecu.ac.uk/publications/religion-and-belief/</w:t>
              </w:r>
            </w:hyperlink>
          </w:p>
          <w:p w:rsidR="00DA21CC" w:rsidRPr="00F92235" w:rsidRDefault="00DA21CC" w:rsidP="00BD65CE">
            <w:pPr>
              <w:pStyle w:val="Default"/>
              <w:rPr>
                <w:rFonts w:ascii="Arial" w:hAnsi="Arial" w:cs="Arial"/>
                <w:sz w:val="22"/>
                <w:szCs w:val="22"/>
              </w:rPr>
            </w:pPr>
          </w:p>
        </w:tc>
      </w:tr>
      <w:tr w:rsidR="00DA21CC" w:rsidRPr="00F92235" w:rsidTr="0030344E">
        <w:trPr>
          <w:trHeight w:val="705"/>
        </w:trPr>
        <w:tc>
          <w:tcPr>
            <w:tcW w:w="3369" w:type="dxa"/>
          </w:tcPr>
          <w:p w:rsidR="00DA21CC" w:rsidRPr="00F92235" w:rsidRDefault="00DA21CC" w:rsidP="00BD65CE">
            <w:pPr>
              <w:pStyle w:val="Default"/>
              <w:rPr>
                <w:rFonts w:ascii="Arial" w:hAnsi="Arial" w:cs="Arial"/>
                <w:sz w:val="22"/>
                <w:szCs w:val="22"/>
              </w:rPr>
            </w:pPr>
            <w:r w:rsidRPr="00F92235">
              <w:rPr>
                <w:rFonts w:ascii="Arial" w:hAnsi="Arial" w:cs="Arial"/>
                <w:b/>
                <w:bCs/>
                <w:sz w:val="22"/>
                <w:szCs w:val="22"/>
              </w:rPr>
              <w:t xml:space="preserve">Sexual Orientation </w:t>
            </w:r>
          </w:p>
        </w:tc>
        <w:tc>
          <w:tcPr>
            <w:tcW w:w="5953" w:type="dxa"/>
          </w:tcPr>
          <w:p w:rsidR="00DA21CC" w:rsidRPr="00F92235" w:rsidRDefault="00DA21CC" w:rsidP="00BD65CE">
            <w:pPr>
              <w:pStyle w:val="Default"/>
              <w:rPr>
                <w:rFonts w:ascii="Arial" w:hAnsi="Arial" w:cs="Arial"/>
                <w:sz w:val="22"/>
                <w:szCs w:val="22"/>
              </w:rPr>
            </w:pPr>
            <w:r w:rsidRPr="00F92235">
              <w:rPr>
                <w:rFonts w:ascii="Arial" w:hAnsi="Arial" w:cs="Arial"/>
                <w:sz w:val="22"/>
                <w:szCs w:val="22"/>
              </w:rPr>
              <w:t xml:space="preserve">NUS: </w:t>
            </w:r>
            <w:hyperlink r:id="rId37" w:history="1">
              <w:r w:rsidRPr="00F92235">
                <w:rPr>
                  <w:rStyle w:val="Hyperlink"/>
                  <w:rFonts w:ascii="Arial" w:hAnsi="Arial" w:cs="Arial"/>
                  <w:sz w:val="22"/>
                  <w:szCs w:val="22"/>
                </w:rPr>
                <w:t>https://www.nus.org.uk/en/who-we-are/how-we-work/lesbian-gay-bisexual-and-trans/</w:t>
              </w:r>
            </w:hyperlink>
          </w:p>
          <w:p w:rsidR="00DA21CC" w:rsidRPr="00F92235" w:rsidRDefault="00DA21CC" w:rsidP="00BD65CE">
            <w:pPr>
              <w:pStyle w:val="Default"/>
              <w:rPr>
                <w:rFonts w:ascii="Arial" w:hAnsi="Arial" w:cs="Arial"/>
                <w:sz w:val="22"/>
                <w:szCs w:val="22"/>
              </w:rPr>
            </w:pPr>
            <w:r w:rsidRPr="00F92235">
              <w:rPr>
                <w:rFonts w:ascii="Arial" w:hAnsi="Arial" w:cs="Arial"/>
                <w:sz w:val="22"/>
                <w:szCs w:val="22"/>
              </w:rPr>
              <w:t xml:space="preserve">Stonewall website and publications: http://www.stonewall.org.uk </w:t>
            </w:r>
          </w:p>
        </w:tc>
      </w:tr>
    </w:tbl>
    <w:p w:rsidR="00DA21CC" w:rsidRPr="004300D1" w:rsidRDefault="00DA21CC" w:rsidP="00DA21CC">
      <w:pPr>
        <w:adjustRightInd w:val="0"/>
        <w:rPr>
          <w:rFonts w:ascii="Arial" w:hAnsi="Arial" w:cs="Arial"/>
          <w:color w:val="000000"/>
          <w:sz w:val="24"/>
          <w:szCs w:val="24"/>
        </w:rPr>
      </w:pPr>
    </w:p>
    <w:p w:rsidR="00DA21CC" w:rsidRPr="006A459D" w:rsidRDefault="00DA21CC" w:rsidP="00DA21CC">
      <w:pPr>
        <w:rPr>
          <w:rFonts w:ascii="Arial" w:hAnsi="Arial" w:cs="Arial"/>
        </w:rPr>
      </w:pPr>
    </w:p>
    <w:p w:rsidR="00DA21CC" w:rsidRPr="00DA21CC" w:rsidRDefault="00DA21CC" w:rsidP="00192E0A">
      <w:pPr>
        <w:spacing w:line="289" w:lineRule="exact"/>
        <w:ind w:left="940" w:firstLine="720"/>
        <w:rPr>
          <w:rFonts w:asciiTheme="minorHAnsi" w:hAnsiTheme="minorHAnsi"/>
          <w:b/>
        </w:rPr>
      </w:pPr>
    </w:p>
    <w:sectPr w:rsidR="00DA21CC" w:rsidRPr="00DA21CC" w:rsidSect="00F92235">
      <w:pgSz w:w="11907" w:h="16839" w:code="9"/>
      <w:pgMar w:top="1440" w:right="1041" w:bottom="1160" w:left="1276" w:header="0" w:footer="9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1036" w:rsidRDefault="00D51036">
      <w:r>
        <w:separator/>
      </w:r>
    </w:p>
  </w:endnote>
  <w:endnote w:type="continuationSeparator" w:id="0">
    <w:p w:rsidR="00D51036" w:rsidRDefault="00D51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0FE" w:rsidRDefault="009660FE">
    <w:pPr>
      <w:pStyle w:val="BodyText"/>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1036" w:rsidRDefault="00D51036">
      <w:r>
        <w:separator/>
      </w:r>
    </w:p>
  </w:footnote>
  <w:footnote w:type="continuationSeparator" w:id="0">
    <w:p w:rsidR="00D51036" w:rsidRDefault="00D51036">
      <w:r>
        <w:continuationSeparator/>
      </w:r>
    </w:p>
  </w:footnote>
  <w:footnote w:id="1">
    <w:p w:rsidR="003162CF" w:rsidRPr="004300D1" w:rsidRDefault="003162CF" w:rsidP="00D124E7">
      <w:pPr>
        <w:pStyle w:val="FootnoteText"/>
        <w:rPr>
          <w:rFonts w:ascii="Arial" w:hAnsi="Arial" w:cs="Arial"/>
          <w:sz w:val="22"/>
          <w:szCs w:val="22"/>
        </w:rPr>
      </w:pPr>
      <w:r w:rsidRPr="004300D1">
        <w:rPr>
          <w:rStyle w:val="FootnoteReference"/>
          <w:rFonts w:ascii="Arial" w:hAnsi="Arial" w:cs="Arial"/>
          <w:sz w:val="22"/>
          <w:szCs w:val="22"/>
        </w:rPr>
        <w:footnoteRef/>
      </w:r>
      <w:r w:rsidRPr="004300D1">
        <w:rPr>
          <w:rFonts w:ascii="Arial" w:hAnsi="Arial" w:cs="Arial"/>
          <w:sz w:val="22"/>
          <w:szCs w:val="22"/>
        </w:rPr>
        <w:t xml:space="preserve"> In addition, there is a requirement to consider marriage and civil partnership. We anticipate these considerations being reasonably specific to certain HR policies (of which HR are aware) which is why we haven’t included it in the list for everyone.</w:t>
      </w:r>
    </w:p>
  </w:footnote>
  <w:footnote w:id="2">
    <w:p w:rsidR="00D124E7" w:rsidRDefault="00D124E7">
      <w:pPr>
        <w:pStyle w:val="FootnoteText"/>
      </w:pPr>
      <w:r w:rsidRPr="004300D1">
        <w:rPr>
          <w:rStyle w:val="FootnoteReference"/>
          <w:rFonts w:ascii="Arial" w:hAnsi="Arial" w:cs="Arial"/>
          <w:sz w:val="22"/>
          <w:szCs w:val="22"/>
        </w:rPr>
        <w:footnoteRef/>
      </w:r>
      <w:r w:rsidRPr="004300D1">
        <w:rPr>
          <w:rFonts w:ascii="Arial" w:hAnsi="Arial" w:cs="Arial"/>
          <w:sz w:val="22"/>
          <w:szCs w:val="22"/>
        </w:rPr>
        <w:t xml:space="preserve"> Useful resources are list in Annex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0D1" w:rsidRDefault="004300D1">
    <w:pPr>
      <w:pStyle w:val="Header"/>
    </w:pPr>
  </w:p>
  <w:p w:rsidR="004300D1" w:rsidRDefault="004300D1">
    <w:pPr>
      <w:pStyle w:val="Header"/>
    </w:pPr>
  </w:p>
  <w:p w:rsidR="004300D1" w:rsidRDefault="004300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86D4C"/>
    <w:multiLevelType w:val="hybridMultilevel"/>
    <w:tmpl w:val="AE46651C"/>
    <w:lvl w:ilvl="0" w:tplc="38AC8394">
      <w:numFmt w:val="bullet"/>
      <w:lvlText w:val=""/>
      <w:lvlJc w:val="left"/>
      <w:pPr>
        <w:ind w:left="828" w:hanging="361"/>
      </w:pPr>
      <w:rPr>
        <w:rFonts w:ascii="Symbol" w:eastAsia="Symbol" w:hAnsi="Symbol" w:cs="Symbol" w:hint="default"/>
        <w:w w:val="100"/>
        <w:sz w:val="22"/>
        <w:szCs w:val="22"/>
        <w:lang w:val="en-GB" w:eastAsia="en-GB" w:bidi="en-GB"/>
      </w:rPr>
    </w:lvl>
    <w:lvl w:ilvl="1" w:tplc="40567AF6">
      <w:numFmt w:val="bullet"/>
      <w:lvlText w:val="•"/>
      <w:lvlJc w:val="left"/>
      <w:pPr>
        <w:ind w:left="1601" w:hanging="361"/>
      </w:pPr>
      <w:rPr>
        <w:rFonts w:hint="default"/>
        <w:lang w:val="en-GB" w:eastAsia="en-GB" w:bidi="en-GB"/>
      </w:rPr>
    </w:lvl>
    <w:lvl w:ilvl="2" w:tplc="C0147162">
      <w:numFmt w:val="bullet"/>
      <w:lvlText w:val="•"/>
      <w:lvlJc w:val="left"/>
      <w:pPr>
        <w:ind w:left="2383" w:hanging="361"/>
      </w:pPr>
      <w:rPr>
        <w:rFonts w:hint="default"/>
        <w:lang w:val="en-GB" w:eastAsia="en-GB" w:bidi="en-GB"/>
      </w:rPr>
    </w:lvl>
    <w:lvl w:ilvl="3" w:tplc="5A9A283A">
      <w:numFmt w:val="bullet"/>
      <w:lvlText w:val="•"/>
      <w:lvlJc w:val="left"/>
      <w:pPr>
        <w:ind w:left="3165" w:hanging="361"/>
      </w:pPr>
      <w:rPr>
        <w:rFonts w:hint="default"/>
        <w:lang w:val="en-GB" w:eastAsia="en-GB" w:bidi="en-GB"/>
      </w:rPr>
    </w:lvl>
    <w:lvl w:ilvl="4" w:tplc="BA8622EA">
      <w:numFmt w:val="bullet"/>
      <w:lvlText w:val="•"/>
      <w:lvlJc w:val="left"/>
      <w:pPr>
        <w:ind w:left="3946" w:hanging="361"/>
      </w:pPr>
      <w:rPr>
        <w:rFonts w:hint="default"/>
        <w:lang w:val="en-GB" w:eastAsia="en-GB" w:bidi="en-GB"/>
      </w:rPr>
    </w:lvl>
    <w:lvl w:ilvl="5" w:tplc="E8DCC1E0">
      <w:numFmt w:val="bullet"/>
      <w:lvlText w:val="•"/>
      <w:lvlJc w:val="left"/>
      <w:pPr>
        <w:ind w:left="4728" w:hanging="361"/>
      </w:pPr>
      <w:rPr>
        <w:rFonts w:hint="default"/>
        <w:lang w:val="en-GB" w:eastAsia="en-GB" w:bidi="en-GB"/>
      </w:rPr>
    </w:lvl>
    <w:lvl w:ilvl="6" w:tplc="43A45CD0">
      <w:numFmt w:val="bullet"/>
      <w:lvlText w:val="•"/>
      <w:lvlJc w:val="left"/>
      <w:pPr>
        <w:ind w:left="5510" w:hanging="361"/>
      </w:pPr>
      <w:rPr>
        <w:rFonts w:hint="default"/>
        <w:lang w:val="en-GB" w:eastAsia="en-GB" w:bidi="en-GB"/>
      </w:rPr>
    </w:lvl>
    <w:lvl w:ilvl="7" w:tplc="ED3469F4">
      <w:numFmt w:val="bullet"/>
      <w:lvlText w:val="•"/>
      <w:lvlJc w:val="left"/>
      <w:pPr>
        <w:ind w:left="6291" w:hanging="361"/>
      </w:pPr>
      <w:rPr>
        <w:rFonts w:hint="default"/>
        <w:lang w:val="en-GB" w:eastAsia="en-GB" w:bidi="en-GB"/>
      </w:rPr>
    </w:lvl>
    <w:lvl w:ilvl="8" w:tplc="49688FB0">
      <w:numFmt w:val="bullet"/>
      <w:lvlText w:val="•"/>
      <w:lvlJc w:val="left"/>
      <w:pPr>
        <w:ind w:left="7073" w:hanging="361"/>
      </w:pPr>
      <w:rPr>
        <w:rFonts w:hint="default"/>
        <w:lang w:val="en-GB" w:eastAsia="en-GB" w:bidi="en-GB"/>
      </w:rPr>
    </w:lvl>
  </w:abstractNum>
  <w:abstractNum w:abstractNumId="1" w15:restartNumberingAfterBreak="0">
    <w:nsid w:val="04914DBB"/>
    <w:multiLevelType w:val="hybridMultilevel"/>
    <w:tmpl w:val="A7E4577C"/>
    <w:lvl w:ilvl="0" w:tplc="A6F20F52">
      <w:numFmt w:val="bullet"/>
      <w:lvlText w:val=""/>
      <w:lvlJc w:val="left"/>
      <w:pPr>
        <w:ind w:left="828" w:hanging="361"/>
      </w:pPr>
      <w:rPr>
        <w:rFonts w:ascii="Symbol" w:eastAsia="Symbol" w:hAnsi="Symbol" w:cs="Symbol" w:hint="default"/>
        <w:w w:val="100"/>
        <w:sz w:val="22"/>
        <w:szCs w:val="22"/>
        <w:lang w:val="en-GB" w:eastAsia="en-GB" w:bidi="en-GB"/>
      </w:rPr>
    </w:lvl>
    <w:lvl w:ilvl="1" w:tplc="213200D0">
      <w:numFmt w:val="bullet"/>
      <w:lvlText w:val="•"/>
      <w:lvlJc w:val="left"/>
      <w:pPr>
        <w:ind w:left="1601" w:hanging="361"/>
      </w:pPr>
      <w:rPr>
        <w:rFonts w:hint="default"/>
        <w:lang w:val="en-GB" w:eastAsia="en-GB" w:bidi="en-GB"/>
      </w:rPr>
    </w:lvl>
    <w:lvl w:ilvl="2" w:tplc="8FA065F0">
      <w:numFmt w:val="bullet"/>
      <w:lvlText w:val="•"/>
      <w:lvlJc w:val="left"/>
      <w:pPr>
        <w:ind w:left="2383" w:hanging="361"/>
      </w:pPr>
      <w:rPr>
        <w:rFonts w:hint="default"/>
        <w:lang w:val="en-GB" w:eastAsia="en-GB" w:bidi="en-GB"/>
      </w:rPr>
    </w:lvl>
    <w:lvl w:ilvl="3" w:tplc="0AEA10B6">
      <w:numFmt w:val="bullet"/>
      <w:lvlText w:val="•"/>
      <w:lvlJc w:val="left"/>
      <w:pPr>
        <w:ind w:left="3165" w:hanging="361"/>
      </w:pPr>
      <w:rPr>
        <w:rFonts w:hint="default"/>
        <w:lang w:val="en-GB" w:eastAsia="en-GB" w:bidi="en-GB"/>
      </w:rPr>
    </w:lvl>
    <w:lvl w:ilvl="4" w:tplc="52DEA604">
      <w:numFmt w:val="bullet"/>
      <w:lvlText w:val="•"/>
      <w:lvlJc w:val="left"/>
      <w:pPr>
        <w:ind w:left="3946" w:hanging="361"/>
      </w:pPr>
      <w:rPr>
        <w:rFonts w:hint="default"/>
        <w:lang w:val="en-GB" w:eastAsia="en-GB" w:bidi="en-GB"/>
      </w:rPr>
    </w:lvl>
    <w:lvl w:ilvl="5" w:tplc="98822906">
      <w:numFmt w:val="bullet"/>
      <w:lvlText w:val="•"/>
      <w:lvlJc w:val="left"/>
      <w:pPr>
        <w:ind w:left="4728" w:hanging="361"/>
      </w:pPr>
      <w:rPr>
        <w:rFonts w:hint="default"/>
        <w:lang w:val="en-GB" w:eastAsia="en-GB" w:bidi="en-GB"/>
      </w:rPr>
    </w:lvl>
    <w:lvl w:ilvl="6" w:tplc="11D4544A">
      <w:numFmt w:val="bullet"/>
      <w:lvlText w:val="•"/>
      <w:lvlJc w:val="left"/>
      <w:pPr>
        <w:ind w:left="5510" w:hanging="361"/>
      </w:pPr>
      <w:rPr>
        <w:rFonts w:hint="default"/>
        <w:lang w:val="en-GB" w:eastAsia="en-GB" w:bidi="en-GB"/>
      </w:rPr>
    </w:lvl>
    <w:lvl w:ilvl="7" w:tplc="F45AB024">
      <w:numFmt w:val="bullet"/>
      <w:lvlText w:val="•"/>
      <w:lvlJc w:val="left"/>
      <w:pPr>
        <w:ind w:left="6291" w:hanging="361"/>
      </w:pPr>
      <w:rPr>
        <w:rFonts w:hint="default"/>
        <w:lang w:val="en-GB" w:eastAsia="en-GB" w:bidi="en-GB"/>
      </w:rPr>
    </w:lvl>
    <w:lvl w:ilvl="8" w:tplc="ECC4DC2A">
      <w:numFmt w:val="bullet"/>
      <w:lvlText w:val="•"/>
      <w:lvlJc w:val="left"/>
      <w:pPr>
        <w:ind w:left="7073" w:hanging="361"/>
      </w:pPr>
      <w:rPr>
        <w:rFonts w:hint="default"/>
        <w:lang w:val="en-GB" w:eastAsia="en-GB" w:bidi="en-GB"/>
      </w:rPr>
    </w:lvl>
  </w:abstractNum>
  <w:abstractNum w:abstractNumId="2" w15:restartNumberingAfterBreak="0">
    <w:nsid w:val="057175EA"/>
    <w:multiLevelType w:val="hybridMultilevel"/>
    <w:tmpl w:val="A1A81B54"/>
    <w:lvl w:ilvl="0" w:tplc="CAFE27F4">
      <w:start w:val="1"/>
      <w:numFmt w:val="bullet"/>
      <w:lvlText w:val=""/>
      <w:lvlJc w:val="left"/>
      <w:pPr>
        <w:ind w:left="828" w:hanging="360"/>
      </w:pPr>
      <w:rPr>
        <w:rFonts w:ascii="Symbol" w:hAnsi="Symbol" w:hint="default"/>
        <w:color w:val="FF0000"/>
        <w:sz w:val="22"/>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3" w15:restartNumberingAfterBreak="0">
    <w:nsid w:val="072B2910"/>
    <w:multiLevelType w:val="hybridMultilevel"/>
    <w:tmpl w:val="036477CC"/>
    <w:lvl w:ilvl="0" w:tplc="6B04DE26">
      <w:numFmt w:val="bullet"/>
      <w:lvlText w:val=""/>
      <w:lvlJc w:val="left"/>
      <w:pPr>
        <w:ind w:left="828" w:hanging="361"/>
      </w:pPr>
      <w:rPr>
        <w:rFonts w:ascii="Symbol" w:eastAsia="Symbol" w:hAnsi="Symbol" w:cs="Symbol" w:hint="default"/>
        <w:w w:val="100"/>
        <w:sz w:val="22"/>
        <w:szCs w:val="22"/>
        <w:lang w:val="en-GB" w:eastAsia="en-GB" w:bidi="en-GB"/>
      </w:rPr>
    </w:lvl>
    <w:lvl w:ilvl="1" w:tplc="074A0774">
      <w:numFmt w:val="bullet"/>
      <w:lvlText w:val="•"/>
      <w:lvlJc w:val="left"/>
      <w:pPr>
        <w:ind w:left="1601" w:hanging="361"/>
      </w:pPr>
      <w:rPr>
        <w:rFonts w:hint="default"/>
        <w:lang w:val="en-GB" w:eastAsia="en-GB" w:bidi="en-GB"/>
      </w:rPr>
    </w:lvl>
    <w:lvl w:ilvl="2" w:tplc="66CE7EA4">
      <w:numFmt w:val="bullet"/>
      <w:lvlText w:val="•"/>
      <w:lvlJc w:val="left"/>
      <w:pPr>
        <w:ind w:left="2383" w:hanging="361"/>
      </w:pPr>
      <w:rPr>
        <w:rFonts w:hint="default"/>
        <w:lang w:val="en-GB" w:eastAsia="en-GB" w:bidi="en-GB"/>
      </w:rPr>
    </w:lvl>
    <w:lvl w:ilvl="3" w:tplc="DDBAB4E6">
      <w:numFmt w:val="bullet"/>
      <w:lvlText w:val="•"/>
      <w:lvlJc w:val="left"/>
      <w:pPr>
        <w:ind w:left="3165" w:hanging="361"/>
      </w:pPr>
      <w:rPr>
        <w:rFonts w:hint="default"/>
        <w:lang w:val="en-GB" w:eastAsia="en-GB" w:bidi="en-GB"/>
      </w:rPr>
    </w:lvl>
    <w:lvl w:ilvl="4" w:tplc="8CC6FA1C">
      <w:numFmt w:val="bullet"/>
      <w:lvlText w:val="•"/>
      <w:lvlJc w:val="left"/>
      <w:pPr>
        <w:ind w:left="3946" w:hanging="361"/>
      </w:pPr>
      <w:rPr>
        <w:rFonts w:hint="default"/>
        <w:lang w:val="en-GB" w:eastAsia="en-GB" w:bidi="en-GB"/>
      </w:rPr>
    </w:lvl>
    <w:lvl w:ilvl="5" w:tplc="B144F962">
      <w:numFmt w:val="bullet"/>
      <w:lvlText w:val="•"/>
      <w:lvlJc w:val="left"/>
      <w:pPr>
        <w:ind w:left="4728" w:hanging="361"/>
      </w:pPr>
      <w:rPr>
        <w:rFonts w:hint="default"/>
        <w:lang w:val="en-GB" w:eastAsia="en-GB" w:bidi="en-GB"/>
      </w:rPr>
    </w:lvl>
    <w:lvl w:ilvl="6" w:tplc="C71E49A0">
      <w:numFmt w:val="bullet"/>
      <w:lvlText w:val="•"/>
      <w:lvlJc w:val="left"/>
      <w:pPr>
        <w:ind w:left="5510" w:hanging="361"/>
      </w:pPr>
      <w:rPr>
        <w:rFonts w:hint="default"/>
        <w:lang w:val="en-GB" w:eastAsia="en-GB" w:bidi="en-GB"/>
      </w:rPr>
    </w:lvl>
    <w:lvl w:ilvl="7" w:tplc="D7544C8E">
      <w:numFmt w:val="bullet"/>
      <w:lvlText w:val="•"/>
      <w:lvlJc w:val="left"/>
      <w:pPr>
        <w:ind w:left="6291" w:hanging="361"/>
      </w:pPr>
      <w:rPr>
        <w:rFonts w:hint="default"/>
        <w:lang w:val="en-GB" w:eastAsia="en-GB" w:bidi="en-GB"/>
      </w:rPr>
    </w:lvl>
    <w:lvl w:ilvl="8" w:tplc="7966A23A">
      <w:numFmt w:val="bullet"/>
      <w:lvlText w:val="•"/>
      <w:lvlJc w:val="left"/>
      <w:pPr>
        <w:ind w:left="7073" w:hanging="361"/>
      </w:pPr>
      <w:rPr>
        <w:rFonts w:hint="default"/>
        <w:lang w:val="en-GB" w:eastAsia="en-GB" w:bidi="en-GB"/>
      </w:rPr>
    </w:lvl>
  </w:abstractNum>
  <w:abstractNum w:abstractNumId="4" w15:restartNumberingAfterBreak="0">
    <w:nsid w:val="167C36CC"/>
    <w:multiLevelType w:val="hybridMultilevel"/>
    <w:tmpl w:val="E47AAD90"/>
    <w:lvl w:ilvl="0" w:tplc="ECB45530">
      <w:numFmt w:val="bullet"/>
      <w:lvlText w:val=""/>
      <w:lvlJc w:val="left"/>
      <w:pPr>
        <w:ind w:left="828" w:hanging="361"/>
      </w:pPr>
      <w:rPr>
        <w:rFonts w:ascii="Symbol" w:eastAsia="Symbol" w:hAnsi="Symbol" w:cs="Symbol" w:hint="default"/>
        <w:w w:val="100"/>
        <w:sz w:val="22"/>
        <w:szCs w:val="22"/>
        <w:lang w:val="en-GB" w:eastAsia="en-GB" w:bidi="en-GB"/>
      </w:rPr>
    </w:lvl>
    <w:lvl w:ilvl="1" w:tplc="7C2C2D60">
      <w:numFmt w:val="bullet"/>
      <w:lvlText w:val="•"/>
      <w:lvlJc w:val="left"/>
      <w:pPr>
        <w:ind w:left="1601" w:hanging="361"/>
      </w:pPr>
      <w:rPr>
        <w:rFonts w:hint="default"/>
        <w:lang w:val="en-GB" w:eastAsia="en-GB" w:bidi="en-GB"/>
      </w:rPr>
    </w:lvl>
    <w:lvl w:ilvl="2" w:tplc="0F9AE246">
      <w:numFmt w:val="bullet"/>
      <w:lvlText w:val="•"/>
      <w:lvlJc w:val="left"/>
      <w:pPr>
        <w:ind w:left="2383" w:hanging="361"/>
      </w:pPr>
      <w:rPr>
        <w:rFonts w:hint="default"/>
        <w:lang w:val="en-GB" w:eastAsia="en-GB" w:bidi="en-GB"/>
      </w:rPr>
    </w:lvl>
    <w:lvl w:ilvl="3" w:tplc="3158895C">
      <w:numFmt w:val="bullet"/>
      <w:lvlText w:val="•"/>
      <w:lvlJc w:val="left"/>
      <w:pPr>
        <w:ind w:left="3165" w:hanging="361"/>
      </w:pPr>
      <w:rPr>
        <w:rFonts w:hint="default"/>
        <w:lang w:val="en-GB" w:eastAsia="en-GB" w:bidi="en-GB"/>
      </w:rPr>
    </w:lvl>
    <w:lvl w:ilvl="4" w:tplc="F2FEB2BA">
      <w:numFmt w:val="bullet"/>
      <w:lvlText w:val="•"/>
      <w:lvlJc w:val="left"/>
      <w:pPr>
        <w:ind w:left="3946" w:hanging="361"/>
      </w:pPr>
      <w:rPr>
        <w:rFonts w:hint="default"/>
        <w:lang w:val="en-GB" w:eastAsia="en-GB" w:bidi="en-GB"/>
      </w:rPr>
    </w:lvl>
    <w:lvl w:ilvl="5" w:tplc="FFC00D4E">
      <w:numFmt w:val="bullet"/>
      <w:lvlText w:val="•"/>
      <w:lvlJc w:val="left"/>
      <w:pPr>
        <w:ind w:left="4728" w:hanging="361"/>
      </w:pPr>
      <w:rPr>
        <w:rFonts w:hint="default"/>
        <w:lang w:val="en-GB" w:eastAsia="en-GB" w:bidi="en-GB"/>
      </w:rPr>
    </w:lvl>
    <w:lvl w:ilvl="6" w:tplc="C6E8469A">
      <w:numFmt w:val="bullet"/>
      <w:lvlText w:val="•"/>
      <w:lvlJc w:val="left"/>
      <w:pPr>
        <w:ind w:left="5510" w:hanging="361"/>
      </w:pPr>
      <w:rPr>
        <w:rFonts w:hint="default"/>
        <w:lang w:val="en-GB" w:eastAsia="en-GB" w:bidi="en-GB"/>
      </w:rPr>
    </w:lvl>
    <w:lvl w:ilvl="7" w:tplc="DF8CAE60">
      <w:numFmt w:val="bullet"/>
      <w:lvlText w:val="•"/>
      <w:lvlJc w:val="left"/>
      <w:pPr>
        <w:ind w:left="6291" w:hanging="361"/>
      </w:pPr>
      <w:rPr>
        <w:rFonts w:hint="default"/>
        <w:lang w:val="en-GB" w:eastAsia="en-GB" w:bidi="en-GB"/>
      </w:rPr>
    </w:lvl>
    <w:lvl w:ilvl="8" w:tplc="06BA85E2">
      <w:numFmt w:val="bullet"/>
      <w:lvlText w:val="•"/>
      <w:lvlJc w:val="left"/>
      <w:pPr>
        <w:ind w:left="7073" w:hanging="361"/>
      </w:pPr>
      <w:rPr>
        <w:rFonts w:hint="default"/>
        <w:lang w:val="en-GB" w:eastAsia="en-GB" w:bidi="en-GB"/>
      </w:rPr>
    </w:lvl>
  </w:abstractNum>
  <w:abstractNum w:abstractNumId="5" w15:restartNumberingAfterBreak="0">
    <w:nsid w:val="24C85369"/>
    <w:multiLevelType w:val="hybridMultilevel"/>
    <w:tmpl w:val="2E6655EE"/>
    <w:lvl w:ilvl="0" w:tplc="23B8CB12">
      <w:numFmt w:val="bullet"/>
      <w:lvlText w:val=""/>
      <w:lvlJc w:val="left"/>
      <w:pPr>
        <w:ind w:left="828" w:hanging="361"/>
      </w:pPr>
      <w:rPr>
        <w:rFonts w:ascii="Symbol" w:eastAsia="Symbol" w:hAnsi="Symbol" w:cs="Symbol" w:hint="default"/>
        <w:w w:val="100"/>
        <w:sz w:val="22"/>
        <w:szCs w:val="22"/>
        <w:lang w:val="en-GB" w:eastAsia="en-GB" w:bidi="en-GB"/>
      </w:rPr>
    </w:lvl>
    <w:lvl w:ilvl="1" w:tplc="2F40F4C6">
      <w:numFmt w:val="bullet"/>
      <w:lvlText w:val="•"/>
      <w:lvlJc w:val="left"/>
      <w:pPr>
        <w:ind w:left="1601" w:hanging="361"/>
      </w:pPr>
      <w:rPr>
        <w:rFonts w:hint="default"/>
        <w:lang w:val="en-GB" w:eastAsia="en-GB" w:bidi="en-GB"/>
      </w:rPr>
    </w:lvl>
    <w:lvl w:ilvl="2" w:tplc="EBCECFBA">
      <w:numFmt w:val="bullet"/>
      <w:lvlText w:val="•"/>
      <w:lvlJc w:val="left"/>
      <w:pPr>
        <w:ind w:left="2383" w:hanging="361"/>
      </w:pPr>
      <w:rPr>
        <w:rFonts w:hint="default"/>
        <w:lang w:val="en-GB" w:eastAsia="en-GB" w:bidi="en-GB"/>
      </w:rPr>
    </w:lvl>
    <w:lvl w:ilvl="3" w:tplc="CF7A06B4">
      <w:numFmt w:val="bullet"/>
      <w:lvlText w:val="•"/>
      <w:lvlJc w:val="left"/>
      <w:pPr>
        <w:ind w:left="3165" w:hanging="361"/>
      </w:pPr>
      <w:rPr>
        <w:rFonts w:hint="default"/>
        <w:lang w:val="en-GB" w:eastAsia="en-GB" w:bidi="en-GB"/>
      </w:rPr>
    </w:lvl>
    <w:lvl w:ilvl="4" w:tplc="7BCE2AD0">
      <w:numFmt w:val="bullet"/>
      <w:lvlText w:val="•"/>
      <w:lvlJc w:val="left"/>
      <w:pPr>
        <w:ind w:left="3946" w:hanging="361"/>
      </w:pPr>
      <w:rPr>
        <w:rFonts w:hint="default"/>
        <w:lang w:val="en-GB" w:eastAsia="en-GB" w:bidi="en-GB"/>
      </w:rPr>
    </w:lvl>
    <w:lvl w:ilvl="5" w:tplc="EB8606FE">
      <w:numFmt w:val="bullet"/>
      <w:lvlText w:val="•"/>
      <w:lvlJc w:val="left"/>
      <w:pPr>
        <w:ind w:left="4728" w:hanging="361"/>
      </w:pPr>
      <w:rPr>
        <w:rFonts w:hint="default"/>
        <w:lang w:val="en-GB" w:eastAsia="en-GB" w:bidi="en-GB"/>
      </w:rPr>
    </w:lvl>
    <w:lvl w:ilvl="6" w:tplc="7910B9BE">
      <w:numFmt w:val="bullet"/>
      <w:lvlText w:val="•"/>
      <w:lvlJc w:val="left"/>
      <w:pPr>
        <w:ind w:left="5510" w:hanging="361"/>
      </w:pPr>
      <w:rPr>
        <w:rFonts w:hint="default"/>
        <w:lang w:val="en-GB" w:eastAsia="en-GB" w:bidi="en-GB"/>
      </w:rPr>
    </w:lvl>
    <w:lvl w:ilvl="7" w:tplc="384C082C">
      <w:numFmt w:val="bullet"/>
      <w:lvlText w:val="•"/>
      <w:lvlJc w:val="left"/>
      <w:pPr>
        <w:ind w:left="6291" w:hanging="361"/>
      </w:pPr>
      <w:rPr>
        <w:rFonts w:hint="default"/>
        <w:lang w:val="en-GB" w:eastAsia="en-GB" w:bidi="en-GB"/>
      </w:rPr>
    </w:lvl>
    <w:lvl w:ilvl="8" w:tplc="0194C4EE">
      <w:numFmt w:val="bullet"/>
      <w:lvlText w:val="•"/>
      <w:lvlJc w:val="left"/>
      <w:pPr>
        <w:ind w:left="7073" w:hanging="361"/>
      </w:pPr>
      <w:rPr>
        <w:rFonts w:hint="default"/>
        <w:lang w:val="en-GB" w:eastAsia="en-GB" w:bidi="en-GB"/>
      </w:rPr>
    </w:lvl>
  </w:abstractNum>
  <w:abstractNum w:abstractNumId="6" w15:restartNumberingAfterBreak="0">
    <w:nsid w:val="25020276"/>
    <w:multiLevelType w:val="hybridMultilevel"/>
    <w:tmpl w:val="41142712"/>
    <w:lvl w:ilvl="0" w:tplc="2DB4AEDC">
      <w:numFmt w:val="bullet"/>
      <w:lvlText w:val=""/>
      <w:lvlJc w:val="left"/>
      <w:pPr>
        <w:ind w:left="828" w:hanging="361"/>
      </w:pPr>
      <w:rPr>
        <w:rFonts w:ascii="Symbol" w:eastAsia="Symbol" w:hAnsi="Symbol" w:cs="Symbol" w:hint="default"/>
        <w:w w:val="100"/>
        <w:sz w:val="22"/>
        <w:szCs w:val="22"/>
        <w:lang w:val="en-GB" w:eastAsia="en-GB" w:bidi="en-GB"/>
      </w:rPr>
    </w:lvl>
    <w:lvl w:ilvl="1" w:tplc="C0680C1E">
      <w:numFmt w:val="bullet"/>
      <w:lvlText w:val="•"/>
      <w:lvlJc w:val="left"/>
      <w:pPr>
        <w:ind w:left="1601" w:hanging="361"/>
      </w:pPr>
      <w:rPr>
        <w:rFonts w:hint="default"/>
        <w:lang w:val="en-GB" w:eastAsia="en-GB" w:bidi="en-GB"/>
      </w:rPr>
    </w:lvl>
    <w:lvl w:ilvl="2" w:tplc="5A8880DC">
      <w:numFmt w:val="bullet"/>
      <w:lvlText w:val="•"/>
      <w:lvlJc w:val="left"/>
      <w:pPr>
        <w:ind w:left="2383" w:hanging="361"/>
      </w:pPr>
      <w:rPr>
        <w:rFonts w:hint="default"/>
        <w:lang w:val="en-GB" w:eastAsia="en-GB" w:bidi="en-GB"/>
      </w:rPr>
    </w:lvl>
    <w:lvl w:ilvl="3" w:tplc="0824C8E4">
      <w:numFmt w:val="bullet"/>
      <w:lvlText w:val="•"/>
      <w:lvlJc w:val="left"/>
      <w:pPr>
        <w:ind w:left="3165" w:hanging="361"/>
      </w:pPr>
      <w:rPr>
        <w:rFonts w:hint="default"/>
        <w:lang w:val="en-GB" w:eastAsia="en-GB" w:bidi="en-GB"/>
      </w:rPr>
    </w:lvl>
    <w:lvl w:ilvl="4" w:tplc="6DB41840">
      <w:numFmt w:val="bullet"/>
      <w:lvlText w:val="•"/>
      <w:lvlJc w:val="left"/>
      <w:pPr>
        <w:ind w:left="3946" w:hanging="361"/>
      </w:pPr>
      <w:rPr>
        <w:rFonts w:hint="default"/>
        <w:lang w:val="en-GB" w:eastAsia="en-GB" w:bidi="en-GB"/>
      </w:rPr>
    </w:lvl>
    <w:lvl w:ilvl="5" w:tplc="B1D84EF2">
      <w:numFmt w:val="bullet"/>
      <w:lvlText w:val="•"/>
      <w:lvlJc w:val="left"/>
      <w:pPr>
        <w:ind w:left="4728" w:hanging="361"/>
      </w:pPr>
      <w:rPr>
        <w:rFonts w:hint="default"/>
        <w:lang w:val="en-GB" w:eastAsia="en-GB" w:bidi="en-GB"/>
      </w:rPr>
    </w:lvl>
    <w:lvl w:ilvl="6" w:tplc="0854E75E">
      <w:numFmt w:val="bullet"/>
      <w:lvlText w:val="•"/>
      <w:lvlJc w:val="left"/>
      <w:pPr>
        <w:ind w:left="5510" w:hanging="361"/>
      </w:pPr>
      <w:rPr>
        <w:rFonts w:hint="default"/>
        <w:lang w:val="en-GB" w:eastAsia="en-GB" w:bidi="en-GB"/>
      </w:rPr>
    </w:lvl>
    <w:lvl w:ilvl="7" w:tplc="A07E9260">
      <w:numFmt w:val="bullet"/>
      <w:lvlText w:val="•"/>
      <w:lvlJc w:val="left"/>
      <w:pPr>
        <w:ind w:left="6291" w:hanging="361"/>
      </w:pPr>
      <w:rPr>
        <w:rFonts w:hint="default"/>
        <w:lang w:val="en-GB" w:eastAsia="en-GB" w:bidi="en-GB"/>
      </w:rPr>
    </w:lvl>
    <w:lvl w:ilvl="8" w:tplc="082CC21A">
      <w:numFmt w:val="bullet"/>
      <w:lvlText w:val="•"/>
      <w:lvlJc w:val="left"/>
      <w:pPr>
        <w:ind w:left="7073" w:hanging="361"/>
      </w:pPr>
      <w:rPr>
        <w:rFonts w:hint="default"/>
        <w:lang w:val="en-GB" w:eastAsia="en-GB" w:bidi="en-GB"/>
      </w:rPr>
    </w:lvl>
  </w:abstractNum>
  <w:abstractNum w:abstractNumId="7" w15:restartNumberingAfterBreak="0">
    <w:nsid w:val="2FA50939"/>
    <w:multiLevelType w:val="hybridMultilevel"/>
    <w:tmpl w:val="F44EF426"/>
    <w:lvl w:ilvl="0" w:tplc="CAFE27F4">
      <w:start w:val="1"/>
      <w:numFmt w:val="bullet"/>
      <w:lvlText w:val=""/>
      <w:lvlJc w:val="left"/>
      <w:pPr>
        <w:ind w:left="720" w:hanging="360"/>
      </w:pPr>
      <w:rPr>
        <w:rFonts w:ascii="Symbol" w:hAnsi="Symbol" w:hint="default"/>
        <w:color w:val="FF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4A50CC"/>
    <w:multiLevelType w:val="hybridMultilevel"/>
    <w:tmpl w:val="C96838B4"/>
    <w:lvl w:ilvl="0" w:tplc="CAFE27F4">
      <w:start w:val="1"/>
      <w:numFmt w:val="bullet"/>
      <w:lvlText w:val=""/>
      <w:lvlJc w:val="left"/>
      <w:pPr>
        <w:ind w:left="828" w:hanging="360"/>
      </w:pPr>
      <w:rPr>
        <w:rFonts w:ascii="Symbol" w:hAnsi="Symbol" w:hint="default"/>
        <w:color w:val="FF0000"/>
        <w:sz w:val="22"/>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9" w15:restartNumberingAfterBreak="0">
    <w:nsid w:val="41FA51DB"/>
    <w:multiLevelType w:val="hybridMultilevel"/>
    <w:tmpl w:val="EF94CAD0"/>
    <w:lvl w:ilvl="0" w:tplc="CAFE27F4">
      <w:start w:val="1"/>
      <w:numFmt w:val="bullet"/>
      <w:lvlText w:val=""/>
      <w:lvlJc w:val="left"/>
      <w:pPr>
        <w:ind w:left="1004" w:hanging="360"/>
      </w:pPr>
      <w:rPr>
        <w:rFonts w:ascii="Symbol" w:hAnsi="Symbol" w:hint="default"/>
        <w:color w:val="FF0000"/>
        <w:sz w:val="22"/>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4AD518D6"/>
    <w:multiLevelType w:val="hybridMultilevel"/>
    <w:tmpl w:val="9E24725A"/>
    <w:lvl w:ilvl="0" w:tplc="CAFE27F4">
      <w:start w:val="1"/>
      <w:numFmt w:val="bullet"/>
      <w:lvlText w:val=""/>
      <w:lvlJc w:val="left"/>
      <w:pPr>
        <w:ind w:left="720" w:hanging="360"/>
      </w:pPr>
      <w:rPr>
        <w:rFonts w:ascii="Symbol" w:hAnsi="Symbol" w:hint="default"/>
        <w:color w:val="FF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5407DF"/>
    <w:multiLevelType w:val="hybridMultilevel"/>
    <w:tmpl w:val="4EF6B7F4"/>
    <w:lvl w:ilvl="0" w:tplc="96E8AFDA">
      <w:numFmt w:val="bullet"/>
      <w:lvlText w:val=""/>
      <w:lvlJc w:val="left"/>
      <w:pPr>
        <w:ind w:left="828" w:hanging="361"/>
      </w:pPr>
      <w:rPr>
        <w:rFonts w:ascii="Symbol" w:eastAsia="Symbol" w:hAnsi="Symbol" w:cs="Symbol" w:hint="default"/>
        <w:w w:val="100"/>
        <w:sz w:val="22"/>
        <w:szCs w:val="22"/>
        <w:lang w:val="en-GB" w:eastAsia="en-GB" w:bidi="en-GB"/>
      </w:rPr>
    </w:lvl>
    <w:lvl w:ilvl="1" w:tplc="B0E82858">
      <w:numFmt w:val="bullet"/>
      <w:lvlText w:val="•"/>
      <w:lvlJc w:val="left"/>
      <w:pPr>
        <w:ind w:left="1601" w:hanging="361"/>
      </w:pPr>
      <w:rPr>
        <w:rFonts w:hint="default"/>
        <w:lang w:val="en-GB" w:eastAsia="en-GB" w:bidi="en-GB"/>
      </w:rPr>
    </w:lvl>
    <w:lvl w:ilvl="2" w:tplc="FD344C12">
      <w:numFmt w:val="bullet"/>
      <w:lvlText w:val="•"/>
      <w:lvlJc w:val="left"/>
      <w:pPr>
        <w:ind w:left="2383" w:hanging="361"/>
      </w:pPr>
      <w:rPr>
        <w:rFonts w:hint="default"/>
        <w:lang w:val="en-GB" w:eastAsia="en-GB" w:bidi="en-GB"/>
      </w:rPr>
    </w:lvl>
    <w:lvl w:ilvl="3" w:tplc="DD22EBFC">
      <w:numFmt w:val="bullet"/>
      <w:lvlText w:val="•"/>
      <w:lvlJc w:val="left"/>
      <w:pPr>
        <w:ind w:left="3165" w:hanging="361"/>
      </w:pPr>
      <w:rPr>
        <w:rFonts w:hint="default"/>
        <w:lang w:val="en-GB" w:eastAsia="en-GB" w:bidi="en-GB"/>
      </w:rPr>
    </w:lvl>
    <w:lvl w:ilvl="4" w:tplc="ADFAC336">
      <w:numFmt w:val="bullet"/>
      <w:lvlText w:val="•"/>
      <w:lvlJc w:val="left"/>
      <w:pPr>
        <w:ind w:left="3946" w:hanging="361"/>
      </w:pPr>
      <w:rPr>
        <w:rFonts w:hint="default"/>
        <w:lang w:val="en-GB" w:eastAsia="en-GB" w:bidi="en-GB"/>
      </w:rPr>
    </w:lvl>
    <w:lvl w:ilvl="5" w:tplc="91281A6C">
      <w:numFmt w:val="bullet"/>
      <w:lvlText w:val="•"/>
      <w:lvlJc w:val="left"/>
      <w:pPr>
        <w:ind w:left="4728" w:hanging="361"/>
      </w:pPr>
      <w:rPr>
        <w:rFonts w:hint="default"/>
        <w:lang w:val="en-GB" w:eastAsia="en-GB" w:bidi="en-GB"/>
      </w:rPr>
    </w:lvl>
    <w:lvl w:ilvl="6" w:tplc="E27A2684">
      <w:numFmt w:val="bullet"/>
      <w:lvlText w:val="•"/>
      <w:lvlJc w:val="left"/>
      <w:pPr>
        <w:ind w:left="5510" w:hanging="361"/>
      </w:pPr>
      <w:rPr>
        <w:rFonts w:hint="default"/>
        <w:lang w:val="en-GB" w:eastAsia="en-GB" w:bidi="en-GB"/>
      </w:rPr>
    </w:lvl>
    <w:lvl w:ilvl="7" w:tplc="F418FDA2">
      <w:numFmt w:val="bullet"/>
      <w:lvlText w:val="•"/>
      <w:lvlJc w:val="left"/>
      <w:pPr>
        <w:ind w:left="6291" w:hanging="361"/>
      </w:pPr>
      <w:rPr>
        <w:rFonts w:hint="default"/>
        <w:lang w:val="en-GB" w:eastAsia="en-GB" w:bidi="en-GB"/>
      </w:rPr>
    </w:lvl>
    <w:lvl w:ilvl="8" w:tplc="ED489C58">
      <w:numFmt w:val="bullet"/>
      <w:lvlText w:val="•"/>
      <w:lvlJc w:val="left"/>
      <w:pPr>
        <w:ind w:left="7073" w:hanging="361"/>
      </w:pPr>
      <w:rPr>
        <w:rFonts w:hint="default"/>
        <w:lang w:val="en-GB" w:eastAsia="en-GB" w:bidi="en-GB"/>
      </w:rPr>
    </w:lvl>
  </w:abstractNum>
  <w:abstractNum w:abstractNumId="12" w15:restartNumberingAfterBreak="0">
    <w:nsid w:val="5C3B1AB0"/>
    <w:multiLevelType w:val="hybridMultilevel"/>
    <w:tmpl w:val="EDB6E23E"/>
    <w:lvl w:ilvl="0" w:tplc="CAFE27F4">
      <w:start w:val="1"/>
      <w:numFmt w:val="bullet"/>
      <w:lvlText w:val=""/>
      <w:lvlJc w:val="left"/>
      <w:pPr>
        <w:ind w:left="828" w:hanging="360"/>
      </w:pPr>
      <w:rPr>
        <w:rFonts w:ascii="Symbol" w:hAnsi="Symbol" w:hint="default"/>
        <w:color w:val="FF0000"/>
        <w:sz w:val="22"/>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3" w15:restartNumberingAfterBreak="0">
    <w:nsid w:val="602A0105"/>
    <w:multiLevelType w:val="hybridMultilevel"/>
    <w:tmpl w:val="A1B4FB70"/>
    <w:lvl w:ilvl="0" w:tplc="8D5C9E2C">
      <w:numFmt w:val="bullet"/>
      <w:lvlText w:val=""/>
      <w:lvlJc w:val="left"/>
      <w:pPr>
        <w:ind w:left="828" w:hanging="361"/>
      </w:pPr>
      <w:rPr>
        <w:rFonts w:ascii="Symbol" w:eastAsia="Symbol" w:hAnsi="Symbol" w:cs="Symbol" w:hint="default"/>
        <w:w w:val="100"/>
        <w:sz w:val="22"/>
        <w:szCs w:val="22"/>
        <w:lang w:val="en-GB" w:eastAsia="en-GB" w:bidi="en-GB"/>
      </w:rPr>
    </w:lvl>
    <w:lvl w:ilvl="1" w:tplc="6BC495B0">
      <w:numFmt w:val="bullet"/>
      <w:lvlText w:val="•"/>
      <w:lvlJc w:val="left"/>
      <w:pPr>
        <w:ind w:left="1601" w:hanging="361"/>
      </w:pPr>
      <w:rPr>
        <w:rFonts w:hint="default"/>
        <w:lang w:val="en-GB" w:eastAsia="en-GB" w:bidi="en-GB"/>
      </w:rPr>
    </w:lvl>
    <w:lvl w:ilvl="2" w:tplc="1C2AF32A">
      <w:numFmt w:val="bullet"/>
      <w:lvlText w:val="•"/>
      <w:lvlJc w:val="left"/>
      <w:pPr>
        <w:ind w:left="2383" w:hanging="361"/>
      </w:pPr>
      <w:rPr>
        <w:rFonts w:hint="default"/>
        <w:lang w:val="en-GB" w:eastAsia="en-GB" w:bidi="en-GB"/>
      </w:rPr>
    </w:lvl>
    <w:lvl w:ilvl="3" w:tplc="1F5EACF6">
      <w:numFmt w:val="bullet"/>
      <w:lvlText w:val="•"/>
      <w:lvlJc w:val="left"/>
      <w:pPr>
        <w:ind w:left="3165" w:hanging="361"/>
      </w:pPr>
      <w:rPr>
        <w:rFonts w:hint="default"/>
        <w:lang w:val="en-GB" w:eastAsia="en-GB" w:bidi="en-GB"/>
      </w:rPr>
    </w:lvl>
    <w:lvl w:ilvl="4" w:tplc="0EC89470">
      <w:numFmt w:val="bullet"/>
      <w:lvlText w:val="•"/>
      <w:lvlJc w:val="left"/>
      <w:pPr>
        <w:ind w:left="3946" w:hanging="361"/>
      </w:pPr>
      <w:rPr>
        <w:rFonts w:hint="default"/>
        <w:lang w:val="en-GB" w:eastAsia="en-GB" w:bidi="en-GB"/>
      </w:rPr>
    </w:lvl>
    <w:lvl w:ilvl="5" w:tplc="05F86500">
      <w:numFmt w:val="bullet"/>
      <w:lvlText w:val="•"/>
      <w:lvlJc w:val="left"/>
      <w:pPr>
        <w:ind w:left="4728" w:hanging="361"/>
      </w:pPr>
      <w:rPr>
        <w:rFonts w:hint="default"/>
        <w:lang w:val="en-GB" w:eastAsia="en-GB" w:bidi="en-GB"/>
      </w:rPr>
    </w:lvl>
    <w:lvl w:ilvl="6" w:tplc="4620C7F8">
      <w:numFmt w:val="bullet"/>
      <w:lvlText w:val="•"/>
      <w:lvlJc w:val="left"/>
      <w:pPr>
        <w:ind w:left="5510" w:hanging="361"/>
      </w:pPr>
      <w:rPr>
        <w:rFonts w:hint="default"/>
        <w:lang w:val="en-GB" w:eastAsia="en-GB" w:bidi="en-GB"/>
      </w:rPr>
    </w:lvl>
    <w:lvl w:ilvl="7" w:tplc="E9749AD8">
      <w:numFmt w:val="bullet"/>
      <w:lvlText w:val="•"/>
      <w:lvlJc w:val="left"/>
      <w:pPr>
        <w:ind w:left="6291" w:hanging="361"/>
      </w:pPr>
      <w:rPr>
        <w:rFonts w:hint="default"/>
        <w:lang w:val="en-GB" w:eastAsia="en-GB" w:bidi="en-GB"/>
      </w:rPr>
    </w:lvl>
    <w:lvl w:ilvl="8" w:tplc="EA566F3E">
      <w:numFmt w:val="bullet"/>
      <w:lvlText w:val="•"/>
      <w:lvlJc w:val="left"/>
      <w:pPr>
        <w:ind w:left="7073" w:hanging="361"/>
      </w:pPr>
      <w:rPr>
        <w:rFonts w:hint="default"/>
        <w:lang w:val="en-GB" w:eastAsia="en-GB" w:bidi="en-GB"/>
      </w:rPr>
    </w:lvl>
  </w:abstractNum>
  <w:abstractNum w:abstractNumId="14" w15:restartNumberingAfterBreak="0">
    <w:nsid w:val="66B31AE2"/>
    <w:multiLevelType w:val="hybridMultilevel"/>
    <w:tmpl w:val="F48C6386"/>
    <w:lvl w:ilvl="0" w:tplc="CAFE27F4">
      <w:start w:val="1"/>
      <w:numFmt w:val="bullet"/>
      <w:lvlText w:val=""/>
      <w:lvlJc w:val="left"/>
      <w:pPr>
        <w:ind w:left="828" w:hanging="360"/>
      </w:pPr>
      <w:rPr>
        <w:rFonts w:ascii="Symbol" w:hAnsi="Symbol" w:hint="default"/>
        <w:color w:val="FF0000"/>
        <w:sz w:val="22"/>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5" w15:restartNumberingAfterBreak="0">
    <w:nsid w:val="68C4016C"/>
    <w:multiLevelType w:val="hybridMultilevel"/>
    <w:tmpl w:val="502C0240"/>
    <w:lvl w:ilvl="0" w:tplc="CAFE27F4">
      <w:start w:val="1"/>
      <w:numFmt w:val="bullet"/>
      <w:lvlText w:val=""/>
      <w:lvlJc w:val="left"/>
      <w:pPr>
        <w:ind w:left="678" w:hanging="360"/>
      </w:pPr>
      <w:rPr>
        <w:rFonts w:ascii="Symbol" w:hAnsi="Symbol" w:hint="default"/>
        <w:color w:val="FF0000"/>
        <w:sz w:val="22"/>
      </w:rPr>
    </w:lvl>
    <w:lvl w:ilvl="1" w:tplc="08090003" w:tentative="1">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16" w15:restartNumberingAfterBreak="0">
    <w:nsid w:val="6C7626E9"/>
    <w:multiLevelType w:val="hybridMultilevel"/>
    <w:tmpl w:val="F188A636"/>
    <w:lvl w:ilvl="0" w:tplc="7548A6A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4D638F"/>
    <w:multiLevelType w:val="hybridMultilevel"/>
    <w:tmpl w:val="4AE82FEE"/>
    <w:lvl w:ilvl="0" w:tplc="24AEB0DA">
      <w:numFmt w:val="bullet"/>
      <w:lvlText w:val=""/>
      <w:lvlJc w:val="left"/>
      <w:pPr>
        <w:ind w:left="828" w:hanging="361"/>
      </w:pPr>
      <w:rPr>
        <w:rFonts w:ascii="Symbol" w:eastAsia="Symbol" w:hAnsi="Symbol" w:cs="Symbol" w:hint="default"/>
        <w:w w:val="100"/>
        <w:sz w:val="22"/>
        <w:szCs w:val="22"/>
        <w:lang w:val="en-GB" w:eastAsia="en-GB" w:bidi="en-GB"/>
      </w:rPr>
    </w:lvl>
    <w:lvl w:ilvl="1" w:tplc="166C6C26">
      <w:numFmt w:val="bullet"/>
      <w:lvlText w:val="•"/>
      <w:lvlJc w:val="left"/>
      <w:pPr>
        <w:ind w:left="1601" w:hanging="361"/>
      </w:pPr>
      <w:rPr>
        <w:rFonts w:hint="default"/>
        <w:lang w:val="en-GB" w:eastAsia="en-GB" w:bidi="en-GB"/>
      </w:rPr>
    </w:lvl>
    <w:lvl w:ilvl="2" w:tplc="7512A25A">
      <w:numFmt w:val="bullet"/>
      <w:lvlText w:val="•"/>
      <w:lvlJc w:val="left"/>
      <w:pPr>
        <w:ind w:left="2383" w:hanging="361"/>
      </w:pPr>
      <w:rPr>
        <w:rFonts w:hint="default"/>
        <w:lang w:val="en-GB" w:eastAsia="en-GB" w:bidi="en-GB"/>
      </w:rPr>
    </w:lvl>
    <w:lvl w:ilvl="3" w:tplc="D756AC18">
      <w:numFmt w:val="bullet"/>
      <w:lvlText w:val="•"/>
      <w:lvlJc w:val="left"/>
      <w:pPr>
        <w:ind w:left="3165" w:hanging="361"/>
      </w:pPr>
      <w:rPr>
        <w:rFonts w:hint="default"/>
        <w:lang w:val="en-GB" w:eastAsia="en-GB" w:bidi="en-GB"/>
      </w:rPr>
    </w:lvl>
    <w:lvl w:ilvl="4" w:tplc="9384C87E">
      <w:numFmt w:val="bullet"/>
      <w:lvlText w:val="•"/>
      <w:lvlJc w:val="left"/>
      <w:pPr>
        <w:ind w:left="3946" w:hanging="361"/>
      </w:pPr>
      <w:rPr>
        <w:rFonts w:hint="default"/>
        <w:lang w:val="en-GB" w:eastAsia="en-GB" w:bidi="en-GB"/>
      </w:rPr>
    </w:lvl>
    <w:lvl w:ilvl="5" w:tplc="3224FACC">
      <w:numFmt w:val="bullet"/>
      <w:lvlText w:val="•"/>
      <w:lvlJc w:val="left"/>
      <w:pPr>
        <w:ind w:left="4728" w:hanging="361"/>
      </w:pPr>
      <w:rPr>
        <w:rFonts w:hint="default"/>
        <w:lang w:val="en-GB" w:eastAsia="en-GB" w:bidi="en-GB"/>
      </w:rPr>
    </w:lvl>
    <w:lvl w:ilvl="6" w:tplc="FA08C71E">
      <w:numFmt w:val="bullet"/>
      <w:lvlText w:val="•"/>
      <w:lvlJc w:val="left"/>
      <w:pPr>
        <w:ind w:left="5510" w:hanging="361"/>
      </w:pPr>
      <w:rPr>
        <w:rFonts w:hint="default"/>
        <w:lang w:val="en-GB" w:eastAsia="en-GB" w:bidi="en-GB"/>
      </w:rPr>
    </w:lvl>
    <w:lvl w:ilvl="7" w:tplc="569647FE">
      <w:numFmt w:val="bullet"/>
      <w:lvlText w:val="•"/>
      <w:lvlJc w:val="left"/>
      <w:pPr>
        <w:ind w:left="6291" w:hanging="361"/>
      </w:pPr>
      <w:rPr>
        <w:rFonts w:hint="default"/>
        <w:lang w:val="en-GB" w:eastAsia="en-GB" w:bidi="en-GB"/>
      </w:rPr>
    </w:lvl>
    <w:lvl w:ilvl="8" w:tplc="2FBA74AA">
      <w:numFmt w:val="bullet"/>
      <w:lvlText w:val="•"/>
      <w:lvlJc w:val="left"/>
      <w:pPr>
        <w:ind w:left="7073" w:hanging="361"/>
      </w:pPr>
      <w:rPr>
        <w:rFonts w:hint="default"/>
        <w:lang w:val="en-GB" w:eastAsia="en-GB" w:bidi="en-GB"/>
      </w:rPr>
    </w:lvl>
  </w:abstractNum>
  <w:abstractNum w:abstractNumId="18" w15:restartNumberingAfterBreak="0">
    <w:nsid w:val="73612A93"/>
    <w:multiLevelType w:val="hybridMultilevel"/>
    <w:tmpl w:val="020001A4"/>
    <w:lvl w:ilvl="0" w:tplc="CAFE27F4">
      <w:start w:val="1"/>
      <w:numFmt w:val="bullet"/>
      <w:lvlText w:val=""/>
      <w:lvlJc w:val="left"/>
      <w:pPr>
        <w:ind w:left="828" w:hanging="360"/>
      </w:pPr>
      <w:rPr>
        <w:rFonts w:ascii="Symbol" w:hAnsi="Symbol" w:hint="default"/>
        <w:color w:val="FF0000"/>
        <w:sz w:val="22"/>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9" w15:restartNumberingAfterBreak="0">
    <w:nsid w:val="742929AE"/>
    <w:multiLevelType w:val="hybridMultilevel"/>
    <w:tmpl w:val="7234A9AA"/>
    <w:lvl w:ilvl="0" w:tplc="60867F44">
      <w:numFmt w:val="bullet"/>
      <w:lvlText w:val=""/>
      <w:lvlJc w:val="left"/>
      <w:pPr>
        <w:ind w:left="828" w:hanging="361"/>
      </w:pPr>
      <w:rPr>
        <w:rFonts w:ascii="Symbol" w:eastAsia="Symbol" w:hAnsi="Symbol" w:cs="Symbol" w:hint="default"/>
        <w:w w:val="100"/>
        <w:sz w:val="22"/>
        <w:szCs w:val="22"/>
        <w:lang w:val="en-GB" w:eastAsia="en-GB" w:bidi="en-GB"/>
      </w:rPr>
    </w:lvl>
    <w:lvl w:ilvl="1" w:tplc="BF524C08">
      <w:numFmt w:val="bullet"/>
      <w:lvlText w:val="•"/>
      <w:lvlJc w:val="left"/>
      <w:pPr>
        <w:ind w:left="1601" w:hanging="361"/>
      </w:pPr>
      <w:rPr>
        <w:rFonts w:hint="default"/>
        <w:lang w:val="en-GB" w:eastAsia="en-GB" w:bidi="en-GB"/>
      </w:rPr>
    </w:lvl>
    <w:lvl w:ilvl="2" w:tplc="5F826E66">
      <w:numFmt w:val="bullet"/>
      <w:lvlText w:val="•"/>
      <w:lvlJc w:val="left"/>
      <w:pPr>
        <w:ind w:left="2383" w:hanging="361"/>
      </w:pPr>
      <w:rPr>
        <w:rFonts w:hint="default"/>
        <w:lang w:val="en-GB" w:eastAsia="en-GB" w:bidi="en-GB"/>
      </w:rPr>
    </w:lvl>
    <w:lvl w:ilvl="3" w:tplc="CB96F390">
      <w:numFmt w:val="bullet"/>
      <w:lvlText w:val="•"/>
      <w:lvlJc w:val="left"/>
      <w:pPr>
        <w:ind w:left="3165" w:hanging="361"/>
      </w:pPr>
      <w:rPr>
        <w:rFonts w:hint="default"/>
        <w:lang w:val="en-GB" w:eastAsia="en-GB" w:bidi="en-GB"/>
      </w:rPr>
    </w:lvl>
    <w:lvl w:ilvl="4" w:tplc="81422D78">
      <w:numFmt w:val="bullet"/>
      <w:lvlText w:val="•"/>
      <w:lvlJc w:val="left"/>
      <w:pPr>
        <w:ind w:left="3946" w:hanging="361"/>
      </w:pPr>
      <w:rPr>
        <w:rFonts w:hint="default"/>
        <w:lang w:val="en-GB" w:eastAsia="en-GB" w:bidi="en-GB"/>
      </w:rPr>
    </w:lvl>
    <w:lvl w:ilvl="5" w:tplc="A0FC8B56">
      <w:numFmt w:val="bullet"/>
      <w:lvlText w:val="•"/>
      <w:lvlJc w:val="left"/>
      <w:pPr>
        <w:ind w:left="4728" w:hanging="361"/>
      </w:pPr>
      <w:rPr>
        <w:rFonts w:hint="default"/>
        <w:lang w:val="en-GB" w:eastAsia="en-GB" w:bidi="en-GB"/>
      </w:rPr>
    </w:lvl>
    <w:lvl w:ilvl="6" w:tplc="F1C48F08">
      <w:numFmt w:val="bullet"/>
      <w:lvlText w:val="•"/>
      <w:lvlJc w:val="left"/>
      <w:pPr>
        <w:ind w:left="5510" w:hanging="361"/>
      </w:pPr>
      <w:rPr>
        <w:rFonts w:hint="default"/>
        <w:lang w:val="en-GB" w:eastAsia="en-GB" w:bidi="en-GB"/>
      </w:rPr>
    </w:lvl>
    <w:lvl w:ilvl="7" w:tplc="D2E0857E">
      <w:numFmt w:val="bullet"/>
      <w:lvlText w:val="•"/>
      <w:lvlJc w:val="left"/>
      <w:pPr>
        <w:ind w:left="6291" w:hanging="361"/>
      </w:pPr>
      <w:rPr>
        <w:rFonts w:hint="default"/>
        <w:lang w:val="en-GB" w:eastAsia="en-GB" w:bidi="en-GB"/>
      </w:rPr>
    </w:lvl>
    <w:lvl w:ilvl="8" w:tplc="A134B2F0">
      <w:numFmt w:val="bullet"/>
      <w:lvlText w:val="•"/>
      <w:lvlJc w:val="left"/>
      <w:pPr>
        <w:ind w:left="7073" w:hanging="361"/>
      </w:pPr>
      <w:rPr>
        <w:rFonts w:hint="default"/>
        <w:lang w:val="en-GB" w:eastAsia="en-GB" w:bidi="en-GB"/>
      </w:rPr>
    </w:lvl>
  </w:abstractNum>
  <w:abstractNum w:abstractNumId="20" w15:restartNumberingAfterBreak="0">
    <w:nsid w:val="7ADA4959"/>
    <w:multiLevelType w:val="hybridMultilevel"/>
    <w:tmpl w:val="798A1276"/>
    <w:lvl w:ilvl="0" w:tplc="9384C45C">
      <w:start w:val="1"/>
      <w:numFmt w:val="lowerLetter"/>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num w:numId="1">
    <w:abstractNumId w:val="1"/>
  </w:num>
  <w:num w:numId="2">
    <w:abstractNumId w:val="13"/>
  </w:num>
  <w:num w:numId="3">
    <w:abstractNumId w:val="3"/>
  </w:num>
  <w:num w:numId="4">
    <w:abstractNumId w:val="0"/>
  </w:num>
  <w:num w:numId="5">
    <w:abstractNumId w:val="19"/>
  </w:num>
  <w:num w:numId="6">
    <w:abstractNumId w:val="6"/>
  </w:num>
  <w:num w:numId="7">
    <w:abstractNumId w:val="17"/>
  </w:num>
  <w:num w:numId="8">
    <w:abstractNumId w:val="4"/>
  </w:num>
  <w:num w:numId="9">
    <w:abstractNumId w:val="11"/>
  </w:num>
  <w:num w:numId="10">
    <w:abstractNumId w:val="5"/>
  </w:num>
  <w:num w:numId="11">
    <w:abstractNumId w:val="16"/>
  </w:num>
  <w:num w:numId="12">
    <w:abstractNumId w:val="10"/>
  </w:num>
  <w:num w:numId="13">
    <w:abstractNumId w:val="20"/>
  </w:num>
  <w:num w:numId="14">
    <w:abstractNumId w:val="7"/>
  </w:num>
  <w:num w:numId="15">
    <w:abstractNumId w:val="15"/>
  </w:num>
  <w:num w:numId="16">
    <w:abstractNumId w:val="12"/>
  </w:num>
  <w:num w:numId="17">
    <w:abstractNumId w:val="8"/>
  </w:num>
  <w:num w:numId="18">
    <w:abstractNumId w:val="9"/>
  </w:num>
  <w:num w:numId="19">
    <w:abstractNumId w:val="18"/>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60FE"/>
    <w:rsid w:val="00043CD8"/>
    <w:rsid w:val="00054EBD"/>
    <w:rsid w:val="00066740"/>
    <w:rsid w:val="00091D8C"/>
    <w:rsid w:val="000B4AF0"/>
    <w:rsid w:val="000D5799"/>
    <w:rsid w:val="001263DB"/>
    <w:rsid w:val="001317A5"/>
    <w:rsid w:val="00142A34"/>
    <w:rsid w:val="00163F1D"/>
    <w:rsid w:val="001752C5"/>
    <w:rsid w:val="00192E0A"/>
    <w:rsid w:val="001B23AF"/>
    <w:rsid w:val="001C74EF"/>
    <w:rsid w:val="001F4254"/>
    <w:rsid w:val="00225F6E"/>
    <w:rsid w:val="00261704"/>
    <w:rsid w:val="002A0067"/>
    <w:rsid w:val="002B020D"/>
    <w:rsid w:val="002E181F"/>
    <w:rsid w:val="002E52EA"/>
    <w:rsid w:val="0030344E"/>
    <w:rsid w:val="00311204"/>
    <w:rsid w:val="00311F5C"/>
    <w:rsid w:val="003162CF"/>
    <w:rsid w:val="0033384E"/>
    <w:rsid w:val="0035494D"/>
    <w:rsid w:val="003638AE"/>
    <w:rsid w:val="00384AA0"/>
    <w:rsid w:val="003E3254"/>
    <w:rsid w:val="004300D1"/>
    <w:rsid w:val="004914AA"/>
    <w:rsid w:val="004A2028"/>
    <w:rsid w:val="004D4D6D"/>
    <w:rsid w:val="0057410A"/>
    <w:rsid w:val="00580D54"/>
    <w:rsid w:val="00586AE2"/>
    <w:rsid w:val="005B4A16"/>
    <w:rsid w:val="005B7211"/>
    <w:rsid w:val="006777E0"/>
    <w:rsid w:val="00681635"/>
    <w:rsid w:val="006A1D27"/>
    <w:rsid w:val="006A459D"/>
    <w:rsid w:val="006B101C"/>
    <w:rsid w:val="007333B4"/>
    <w:rsid w:val="007B5B54"/>
    <w:rsid w:val="007C2165"/>
    <w:rsid w:val="007C6EB4"/>
    <w:rsid w:val="007D4A7F"/>
    <w:rsid w:val="007E6C18"/>
    <w:rsid w:val="007F1407"/>
    <w:rsid w:val="0085222C"/>
    <w:rsid w:val="00855E3A"/>
    <w:rsid w:val="00886B68"/>
    <w:rsid w:val="008F38A9"/>
    <w:rsid w:val="008F5CD5"/>
    <w:rsid w:val="009143B2"/>
    <w:rsid w:val="009660FE"/>
    <w:rsid w:val="009706DE"/>
    <w:rsid w:val="00972B2A"/>
    <w:rsid w:val="009761DC"/>
    <w:rsid w:val="00980C04"/>
    <w:rsid w:val="009829B6"/>
    <w:rsid w:val="009E4E81"/>
    <w:rsid w:val="00A26E9C"/>
    <w:rsid w:val="00A81F1D"/>
    <w:rsid w:val="00A92014"/>
    <w:rsid w:val="00AC322E"/>
    <w:rsid w:val="00AC6088"/>
    <w:rsid w:val="00AD7807"/>
    <w:rsid w:val="00AF4639"/>
    <w:rsid w:val="00B07673"/>
    <w:rsid w:val="00B54317"/>
    <w:rsid w:val="00B63D59"/>
    <w:rsid w:val="00B72845"/>
    <w:rsid w:val="00B762F7"/>
    <w:rsid w:val="00B845C0"/>
    <w:rsid w:val="00C4096B"/>
    <w:rsid w:val="00C90907"/>
    <w:rsid w:val="00CA2DBA"/>
    <w:rsid w:val="00CD6469"/>
    <w:rsid w:val="00CF3F32"/>
    <w:rsid w:val="00D124E7"/>
    <w:rsid w:val="00D14FB8"/>
    <w:rsid w:val="00D4018B"/>
    <w:rsid w:val="00D51036"/>
    <w:rsid w:val="00DA21CC"/>
    <w:rsid w:val="00DF27E3"/>
    <w:rsid w:val="00E37C77"/>
    <w:rsid w:val="00E55380"/>
    <w:rsid w:val="00EA0FFE"/>
    <w:rsid w:val="00F03056"/>
    <w:rsid w:val="00F3610D"/>
    <w:rsid w:val="00F375AB"/>
    <w:rsid w:val="00F55220"/>
    <w:rsid w:val="00F92235"/>
    <w:rsid w:val="00FA3809"/>
    <w:rsid w:val="00FC30D2"/>
    <w:rsid w:val="00FC5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BA75DA3"/>
  <w15:docId w15:val="{B8DE1CA9-C936-4A88-8200-C70814762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Calibri" w:eastAsia="Calibri" w:hAnsi="Calibri" w:cs="Calibri"/>
      <w:lang w:val="en-GB" w:eastAsia="en-GB" w:bidi="en-GB"/>
    </w:rPr>
  </w:style>
  <w:style w:type="paragraph" w:styleId="Heading1">
    <w:name w:val="heading 1"/>
    <w:basedOn w:val="Normal"/>
    <w:uiPriority w:val="1"/>
    <w:qFormat/>
    <w:pPr>
      <w:ind w:left="1660"/>
      <w:outlineLvl w:val="0"/>
    </w:pPr>
    <w:rPr>
      <w:sz w:val="24"/>
      <w:szCs w:val="24"/>
    </w:rPr>
  </w:style>
  <w:style w:type="paragraph" w:styleId="Heading2">
    <w:name w:val="heading 2"/>
    <w:basedOn w:val="Normal"/>
    <w:next w:val="Normal"/>
    <w:link w:val="Heading2Char"/>
    <w:uiPriority w:val="9"/>
    <w:unhideWhenUsed/>
    <w:qFormat/>
    <w:rsid w:val="00DA21CC"/>
    <w:pPr>
      <w:keepNext/>
      <w:keepLines/>
      <w:widowControl/>
      <w:autoSpaceDE/>
      <w:autoSpaceDN/>
      <w:spacing w:before="200" w:line="259" w:lineRule="auto"/>
      <w:outlineLvl w:val="1"/>
    </w:pPr>
    <w:rPr>
      <w:rFonts w:asciiTheme="majorHAnsi" w:eastAsiaTheme="majorEastAsia" w:hAnsiTheme="majorHAnsi" w:cstheme="majorBidi"/>
      <w:b/>
      <w:bCs/>
      <w:color w:val="4F81BD" w:themeColor="accent1"/>
      <w:sz w:val="26"/>
      <w:szCs w:val="26"/>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E4E81"/>
    <w:rPr>
      <w:rFonts w:ascii="Tahoma" w:hAnsi="Tahoma" w:cs="Tahoma"/>
      <w:sz w:val="16"/>
      <w:szCs w:val="16"/>
    </w:rPr>
  </w:style>
  <w:style w:type="character" w:customStyle="1" w:styleId="BalloonTextChar">
    <w:name w:val="Balloon Text Char"/>
    <w:basedOn w:val="DefaultParagraphFont"/>
    <w:link w:val="BalloonText"/>
    <w:uiPriority w:val="99"/>
    <w:semiHidden/>
    <w:rsid w:val="009E4E81"/>
    <w:rPr>
      <w:rFonts w:ascii="Tahoma" w:eastAsia="Calibri" w:hAnsi="Tahoma" w:cs="Tahoma"/>
      <w:sz w:val="16"/>
      <w:szCs w:val="16"/>
      <w:lang w:val="en-GB" w:eastAsia="en-GB" w:bidi="en-GB"/>
    </w:rPr>
  </w:style>
  <w:style w:type="character" w:customStyle="1" w:styleId="Heading2Char">
    <w:name w:val="Heading 2 Char"/>
    <w:basedOn w:val="DefaultParagraphFont"/>
    <w:link w:val="Heading2"/>
    <w:uiPriority w:val="9"/>
    <w:rsid w:val="00DA21CC"/>
    <w:rPr>
      <w:rFonts w:asciiTheme="majorHAnsi" w:eastAsiaTheme="majorEastAsia" w:hAnsiTheme="majorHAnsi" w:cstheme="majorBidi"/>
      <w:b/>
      <w:bCs/>
      <w:color w:val="4F81BD" w:themeColor="accent1"/>
      <w:sz w:val="26"/>
      <w:szCs w:val="26"/>
      <w:lang w:val="en-GB"/>
    </w:rPr>
  </w:style>
  <w:style w:type="paragraph" w:customStyle="1" w:styleId="Default">
    <w:name w:val="Default"/>
    <w:rsid w:val="00DA21CC"/>
    <w:pPr>
      <w:widowControl/>
      <w:adjustRightInd w:val="0"/>
    </w:pPr>
    <w:rPr>
      <w:rFonts w:ascii="Calibri" w:hAnsi="Calibri" w:cs="Calibri"/>
      <w:color w:val="000000"/>
      <w:sz w:val="24"/>
      <w:szCs w:val="24"/>
      <w:lang w:val="en-GB"/>
    </w:rPr>
  </w:style>
  <w:style w:type="character" w:styleId="Hyperlink">
    <w:name w:val="Hyperlink"/>
    <w:basedOn w:val="DefaultParagraphFont"/>
    <w:uiPriority w:val="99"/>
    <w:unhideWhenUsed/>
    <w:rsid w:val="00DA21CC"/>
    <w:rPr>
      <w:color w:val="0000FF" w:themeColor="hyperlink"/>
      <w:u w:val="single"/>
    </w:rPr>
  </w:style>
  <w:style w:type="paragraph" w:styleId="FootnoteText">
    <w:name w:val="footnote text"/>
    <w:basedOn w:val="Normal"/>
    <w:link w:val="FootnoteTextChar"/>
    <w:uiPriority w:val="99"/>
    <w:semiHidden/>
    <w:unhideWhenUsed/>
    <w:rsid w:val="003162CF"/>
    <w:rPr>
      <w:sz w:val="20"/>
      <w:szCs w:val="20"/>
    </w:rPr>
  </w:style>
  <w:style w:type="character" w:customStyle="1" w:styleId="FootnoteTextChar">
    <w:name w:val="Footnote Text Char"/>
    <w:basedOn w:val="DefaultParagraphFont"/>
    <w:link w:val="FootnoteText"/>
    <w:uiPriority w:val="99"/>
    <w:semiHidden/>
    <w:rsid w:val="003162CF"/>
    <w:rPr>
      <w:rFonts w:ascii="Calibri" w:eastAsia="Calibri" w:hAnsi="Calibri" w:cs="Calibri"/>
      <w:sz w:val="20"/>
      <w:szCs w:val="20"/>
      <w:lang w:val="en-GB" w:eastAsia="en-GB" w:bidi="en-GB"/>
    </w:rPr>
  </w:style>
  <w:style w:type="character" w:styleId="FootnoteReference">
    <w:name w:val="footnote reference"/>
    <w:basedOn w:val="DefaultParagraphFont"/>
    <w:uiPriority w:val="99"/>
    <w:semiHidden/>
    <w:unhideWhenUsed/>
    <w:rsid w:val="003162CF"/>
    <w:rPr>
      <w:vertAlign w:val="superscript"/>
    </w:rPr>
  </w:style>
  <w:style w:type="paragraph" w:styleId="Header">
    <w:name w:val="header"/>
    <w:basedOn w:val="Normal"/>
    <w:link w:val="HeaderChar"/>
    <w:uiPriority w:val="99"/>
    <w:unhideWhenUsed/>
    <w:rsid w:val="00D124E7"/>
    <w:pPr>
      <w:tabs>
        <w:tab w:val="center" w:pos="4513"/>
        <w:tab w:val="right" w:pos="9026"/>
      </w:tabs>
    </w:pPr>
  </w:style>
  <w:style w:type="character" w:customStyle="1" w:styleId="HeaderChar">
    <w:name w:val="Header Char"/>
    <w:basedOn w:val="DefaultParagraphFont"/>
    <w:link w:val="Header"/>
    <w:uiPriority w:val="99"/>
    <w:rsid w:val="00D124E7"/>
    <w:rPr>
      <w:rFonts w:ascii="Calibri" w:eastAsia="Calibri" w:hAnsi="Calibri" w:cs="Calibri"/>
      <w:lang w:val="en-GB" w:eastAsia="en-GB" w:bidi="en-GB"/>
    </w:rPr>
  </w:style>
  <w:style w:type="paragraph" w:styleId="Footer">
    <w:name w:val="footer"/>
    <w:basedOn w:val="Normal"/>
    <w:link w:val="FooterChar"/>
    <w:uiPriority w:val="99"/>
    <w:unhideWhenUsed/>
    <w:rsid w:val="00D124E7"/>
    <w:pPr>
      <w:tabs>
        <w:tab w:val="center" w:pos="4513"/>
        <w:tab w:val="right" w:pos="9026"/>
      </w:tabs>
    </w:pPr>
  </w:style>
  <w:style w:type="character" w:customStyle="1" w:styleId="FooterChar">
    <w:name w:val="Footer Char"/>
    <w:basedOn w:val="DefaultParagraphFont"/>
    <w:link w:val="Footer"/>
    <w:uiPriority w:val="99"/>
    <w:rsid w:val="00D124E7"/>
    <w:rPr>
      <w:rFonts w:ascii="Calibri" w:eastAsia="Calibri" w:hAnsi="Calibri" w:cs="Calibri"/>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dpi.com/2076-0760/7/10/196" TargetMode="External"/><Relationship Id="rId18" Type="http://schemas.openxmlformats.org/officeDocument/2006/relationships/hyperlink" Target="https://www.officeforstudents.org.uk/advice-and-guidance/promoting-equal-opportunities/" TargetMode="External"/><Relationship Id="rId26" Type="http://schemas.openxmlformats.org/officeDocument/2006/relationships/hyperlink" Target="https://www.fawcettsociety.org.uk/"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nus.org.uk/en/news/new-website-for-mature-students/" TargetMode="External"/><Relationship Id="rId34" Type="http://schemas.openxmlformats.org/officeDocument/2006/relationships/hyperlink" Target="https://www.nusconnect.org.uk/campaigns/liber8-education/liberate-the-curriculum"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nus.org.uk/en/take-action/" TargetMode="External"/><Relationship Id="rId25" Type="http://schemas.openxmlformats.org/officeDocument/2006/relationships/hyperlink" Target="https://www.ecu.ac.uk/equality-charters/athena-swan/" TargetMode="External"/><Relationship Id="rId33" Type="http://schemas.openxmlformats.org/officeDocument/2006/relationships/hyperlink" Target="https://www.ecu.ac.uk/wp-content/uploads/2015/03/ECU_Academic-flight-from-UK-education_RR.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cu.ac.uk/publications/equality-higher-education-statistical-report-2018/" TargetMode="External"/><Relationship Id="rId20" Type="http://schemas.openxmlformats.org/officeDocument/2006/relationships/hyperlink" Target="https://www.lsesu.com/democracy/student-reps/" TargetMode="External"/><Relationship Id="rId29" Type="http://schemas.openxmlformats.org/officeDocument/2006/relationships/hyperlink" Target="https://www.stonewall.org.uk/resources/trans-inclusion-global-workplace-part-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nadsn-uk.org/resources/" TargetMode="External"/><Relationship Id="rId32" Type="http://schemas.openxmlformats.org/officeDocument/2006/relationships/hyperlink" Target="https://epsrc.ukri.org/files/rcukmatbriefing/" TargetMode="External"/><Relationship Id="rId37" Type="http://schemas.openxmlformats.org/officeDocument/2006/relationships/hyperlink" Target="https://www.nus.org.uk/en/who-we-are/how-we-work/lesbian-gay-bisexual-and-trans/" TargetMode="External"/><Relationship Id="rId5" Type="http://schemas.openxmlformats.org/officeDocument/2006/relationships/webSettings" Target="webSettings.xml"/><Relationship Id="rId15" Type="http://schemas.openxmlformats.org/officeDocument/2006/relationships/hyperlink" Target="https://www.ecu.ac.uk/guidance-resources/" TargetMode="External"/><Relationship Id="rId23" Type="http://schemas.openxmlformats.org/officeDocument/2006/relationships/hyperlink" Target="https://members.businessdisabilityforum.org.uk/account/register/" TargetMode="External"/><Relationship Id="rId28" Type="http://schemas.openxmlformats.org/officeDocument/2006/relationships/hyperlink" Target="https://www.gires.org.uk/" TargetMode="External"/><Relationship Id="rId36" Type="http://schemas.openxmlformats.org/officeDocument/2006/relationships/hyperlink" Target="https://www.ecu.ac.uk/publications/religion-and-belief/" TargetMode="External"/><Relationship Id="rId10" Type="http://schemas.openxmlformats.org/officeDocument/2006/relationships/hyperlink" Target="mailto:edi@lse.ac.uk" TargetMode="External"/><Relationship Id="rId19" Type="http://schemas.openxmlformats.org/officeDocument/2006/relationships/hyperlink" Target="https://www.gov.uk/government/organisations/government-equalities-office" TargetMode="External"/><Relationship Id="rId31" Type="http://schemas.openxmlformats.org/officeDocument/2006/relationships/hyperlink" Target="https://www.ecu.ac.uk/publications/student-pregnancy-and-maternity/" TargetMode="External"/><Relationship Id="rId4" Type="http://schemas.openxmlformats.org/officeDocument/2006/relationships/settings" Target="settings.xml"/><Relationship Id="rId9" Type="http://schemas.openxmlformats.org/officeDocument/2006/relationships/hyperlink" Target="https://info.lse.ac.uk/staff/divisions/equity-diversity-and-inclusion" TargetMode="External"/><Relationship Id="rId14" Type="http://schemas.openxmlformats.org/officeDocument/2006/relationships/hyperlink" Target="https://www.ucu.org.uk/media/10075/staying-power/pdf/ucu_rollock_february_2019.pdf" TargetMode="External"/><Relationship Id="rId22" Type="http://schemas.openxmlformats.org/officeDocument/2006/relationships/hyperlink" Target="https://www.ageuk.org.uk/information-advice/work-learning/retirement/retirement-age/" TargetMode="External"/><Relationship Id="rId27" Type="http://schemas.openxmlformats.org/officeDocument/2006/relationships/hyperlink" Target="https://www.ecu.ac.uk/guidance-resources/inclusive-environment/providing-support/trans-people/" TargetMode="External"/><Relationship Id="rId30" Type="http://schemas.openxmlformats.org/officeDocument/2006/relationships/hyperlink" Target="https://www.stonewall.org.uk/help-advice/partnership-rights" TargetMode="External"/><Relationship Id="rId35" Type="http://schemas.openxmlformats.org/officeDocument/2006/relationships/hyperlink" Target="https://www.runnymede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8CDCD-75FD-47BC-B59E-F3E084ADD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9</Pages>
  <Words>3001</Words>
  <Characters>17112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and Political Science</Company>
  <LinksUpToDate>false</LinksUpToDate>
  <CharactersWithSpaces>20073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boycen</dc:creator>
  <cp:lastModifiedBy>Quazi,SN</cp:lastModifiedBy>
  <cp:revision>61</cp:revision>
  <dcterms:created xsi:type="dcterms:W3CDTF">2019-06-26T11:23:00Z</dcterms:created>
  <dcterms:modified xsi:type="dcterms:W3CDTF">2020-02-07T16:43:00Z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2016-06-01T00:00:00Z</vt:filetime>
  </property>
  <property fmtid="{D5CDD505-2E9C-101B-9397-08002B2CF9AE}" pid="3" name="Creator">
    <vt:lpwstr>Microsoft® Word 2010</vt:lpwstr>
  </property>
  <property fmtid="{D5CDD505-2E9C-101B-9397-08002B2CF9AE}" pid="4" name="LastSaved">
    <vt:filetime>2019-03-20T00:00:00Z</vt:filetime>
  </property>
</Properties>
</file>